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0D" w:rsidRP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/>
          <w:bCs/>
          <w:sz w:val="22"/>
          <w:szCs w:val="22"/>
        </w:rPr>
      </w:pPr>
      <w:r w:rsidRPr="00903C0D">
        <w:rPr>
          <w:b/>
          <w:bCs/>
          <w:sz w:val="22"/>
          <w:szCs w:val="22"/>
        </w:rPr>
        <w:t>AZIONI   NECESSARIE   ED   URGENTI   A   SOSTEGNO   DELLE   FAMIGLIE   IN DIFFICOLTA’   ECONOMICA,   A   CAUS</w:t>
      </w:r>
      <w:r w:rsidR="00095635">
        <w:rPr>
          <w:b/>
          <w:bCs/>
          <w:sz w:val="22"/>
          <w:szCs w:val="22"/>
        </w:rPr>
        <w:t>A   DELL’EMERGENZA SANITARIA</w:t>
      </w:r>
      <w:r w:rsidRPr="00903C0D">
        <w:rPr>
          <w:b/>
          <w:bCs/>
          <w:sz w:val="22"/>
          <w:szCs w:val="22"/>
        </w:rPr>
        <w:t xml:space="preserve"> – CORONA VIRUS, PER L’ACQUISTO </w:t>
      </w:r>
      <w:proofErr w:type="spellStart"/>
      <w:r w:rsidRPr="00903C0D">
        <w:rPr>
          <w:b/>
          <w:bCs/>
          <w:sz w:val="22"/>
          <w:szCs w:val="22"/>
        </w:rPr>
        <w:t>DI</w:t>
      </w:r>
      <w:proofErr w:type="spellEnd"/>
      <w:r w:rsidRPr="00903C0D">
        <w:rPr>
          <w:b/>
          <w:bCs/>
          <w:sz w:val="22"/>
          <w:szCs w:val="22"/>
        </w:rPr>
        <w:t xml:space="preserve"> PRODOTTI </w:t>
      </w:r>
      <w:r w:rsidR="00095635">
        <w:rPr>
          <w:b/>
          <w:bCs/>
          <w:sz w:val="22"/>
          <w:szCs w:val="22"/>
        </w:rPr>
        <w:t xml:space="preserve">ALIMENTARI E </w:t>
      </w:r>
      <w:proofErr w:type="spellStart"/>
      <w:r w:rsidR="00095635">
        <w:rPr>
          <w:b/>
          <w:bCs/>
          <w:sz w:val="22"/>
          <w:szCs w:val="22"/>
        </w:rPr>
        <w:t>DI</w:t>
      </w:r>
      <w:proofErr w:type="spellEnd"/>
      <w:r w:rsidR="00095635">
        <w:rPr>
          <w:b/>
          <w:bCs/>
          <w:sz w:val="22"/>
          <w:szCs w:val="22"/>
        </w:rPr>
        <w:t xml:space="preserve"> PRIMA NECESSITA’.</w:t>
      </w:r>
      <w:r w:rsidRPr="00903C0D">
        <w:rPr>
          <w:b/>
          <w:bCs/>
          <w:sz w:val="22"/>
          <w:szCs w:val="22"/>
        </w:rPr>
        <w:t xml:space="preserve">      </w:t>
      </w:r>
    </w:p>
    <w:p w:rsidR="00903C0D" w:rsidRP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/>
          <w:bCs/>
          <w:sz w:val="22"/>
          <w:szCs w:val="22"/>
        </w:rPr>
      </w:pPr>
      <w:r w:rsidRPr="00903C0D">
        <w:rPr>
          <w:b/>
          <w:bCs/>
          <w:sz w:val="22"/>
          <w:szCs w:val="22"/>
        </w:rPr>
        <w:tab/>
      </w:r>
      <w:r w:rsidRPr="00903C0D">
        <w:rPr>
          <w:b/>
          <w:bCs/>
          <w:sz w:val="22"/>
          <w:szCs w:val="22"/>
        </w:rPr>
        <w:tab/>
      </w:r>
      <w:r w:rsidRPr="00903C0D">
        <w:rPr>
          <w:b/>
          <w:bCs/>
          <w:sz w:val="22"/>
          <w:szCs w:val="22"/>
        </w:rPr>
        <w:tab/>
      </w:r>
      <w:r w:rsidRPr="00903C0D">
        <w:rPr>
          <w:b/>
          <w:bCs/>
          <w:sz w:val="22"/>
          <w:szCs w:val="22"/>
        </w:rPr>
        <w:tab/>
      </w:r>
      <w:r w:rsidRPr="00903C0D">
        <w:rPr>
          <w:b/>
          <w:bCs/>
          <w:sz w:val="22"/>
          <w:szCs w:val="22"/>
        </w:rPr>
        <w:tab/>
      </w:r>
    </w:p>
    <w:p w:rsidR="00903C0D" w:rsidRP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903C0D">
        <w:rPr>
          <w:b/>
          <w:bCs/>
          <w:sz w:val="22"/>
          <w:szCs w:val="22"/>
        </w:rPr>
        <w:tab/>
        <w:t>AVVISO PUBBLICO</w:t>
      </w:r>
    </w:p>
    <w:p w:rsid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</w:p>
    <w:p w:rsid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 w:rsidRPr="00903C0D">
        <w:rPr>
          <w:bCs/>
        </w:rPr>
        <w:t xml:space="preserve">L’Amministrazione comunale, con </w:t>
      </w:r>
      <w:proofErr w:type="spellStart"/>
      <w:r w:rsidRPr="00903C0D">
        <w:rPr>
          <w:bCs/>
        </w:rPr>
        <w:t>D.G.M.</w:t>
      </w:r>
      <w:proofErr w:type="spellEnd"/>
      <w:r w:rsidRPr="00903C0D">
        <w:rPr>
          <w:bCs/>
        </w:rPr>
        <w:t xml:space="preserve"> </w:t>
      </w:r>
      <w:r w:rsidR="00095635">
        <w:rPr>
          <w:bCs/>
        </w:rPr>
        <w:t>n. 177 del 17/12/2020</w:t>
      </w:r>
      <w:r w:rsidRPr="00903C0D">
        <w:rPr>
          <w:bCs/>
        </w:rPr>
        <w:t xml:space="preserve">, in coerenza con </w:t>
      </w:r>
      <w:r>
        <w:rPr>
          <w:bCs/>
        </w:rPr>
        <w:t xml:space="preserve">il </w:t>
      </w:r>
      <w:r w:rsidRPr="00687D5C">
        <w:t xml:space="preserve">Decreto Legge 23 novembre 2020 n. 154 (cd. Decreto </w:t>
      </w:r>
      <w:proofErr w:type="spellStart"/>
      <w:r w:rsidRPr="00687D5C">
        <w:t>Ristori-ter</w:t>
      </w:r>
      <w:proofErr w:type="spellEnd"/>
      <w:r w:rsidRPr="00687D5C">
        <w:t>) recante “Misure</w:t>
      </w:r>
      <w:r>
        <w:t xml:space="preserve"> </w:t>
      </w:r>
      <w:r w:rsidRPr="00687D5C">
        <w:t>finanziarie urgenti connesse all’emergen</w:t>
      </w:r>
      <w:r>
        <w:t xml:space="preserve">za epidemiologica da COVID-19 e </w:t>
      </w:r>
      <w:r w:rsidR="004022BF">
        <w:t xml:space="preserve">con </w:t>
      </w:r>
      <w:r>
        <w:t>l’</w:t>
      </w:r>
      <w:r>
        <w:rPr>
          <w:bCs/>
        </w:rPr>
        <w:t xml:space="preserve"> OCDPC n. 658 del 29.03.2020, finanzia </w:t>
      </w:r>
      <w:r w:rsidRPr="00903C0D">
        <w:rPr>
          <w:bCs/>
        </w:rPr>
        <w:t>interventi  di solidarietà alimentare a  favore  di  famiglie  che  hanno  subì</w:t>
      </w:r>
      <w:r>
        <w:rPr>
          <w:bCs/>
        </w:rPr>
        <w:t>to</w:t>
      </w:r>
      <w:r w:rsidR="00095635">
        <w:rPr>
          <w:bCs/>
        </w:rPr>
        <w:t xml:space="preserve"> disagi </w:t>
      </w:r>
      <w:r w:rsidRPr="00903C0D">
        <w:rPr>
          <w:bCs/>
        </w:rPr>
        <w:t xml:space="preserve"> economici  nel  periodo  di  grave  emergenza sanitaria, con acquisto  di Buoni Spesa. </w:t>
      </w:r>
    </w:p>
    <w:p w:rsid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</w:p>
    <w:p w:rsidR="00903C0D" w:rsidRPr="00865A97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/>
          <w:bCs/>
        </w:rPr>
      </w:pPr>
      <w:r w:rsidRPr="00865A97">
        <w:rPr>
          <w:b/>
          <w:bCs/>
        </w:rPr>
        <w:t xml:space="preserve">BENEFICIARI dei BUONI SPESA </w:t>
      </w:r>
    </w:p>
    <w:p w:rsidR="00D26639" w:rsidRDefault="00903C0D" w:rsidP="00D26639">
      <w:pPr>
        <w:jc w:val="both"/>
      </w:pPr>
      <w:r w:rsidRPr="00903C0D">
        <w:rPr>
          <w:bCs/>
        </w:rPr>
        <w:t xml:space="preserve">Si  informa,  pertanto,  la  cittadinanza  che  è  possibile  presentare  la  domanda  al  Comune  di </w:t>
      </w:r>
      <w:r>
        <w:rPr>
          <w:bCs/>
        </w:rPr>
        <w:t>Sorrento</w:t>
      </w:r>
      <w:r w:rsidRPr="00903C0D">
        <w:rPr>
          <w:bCs/>
        </w:rPr>
        <w:t xml:space="preserve">  per l’assegnazione di   “</w:t>
      </w:r>
      <w:proofErr w:type="spellStart"/>
      <w:r w:rsidRPr="00903C0D">
        <w:rPr>
          <w:bCs/>
        </w:rPr>
        <w:t>Buoni-spesa</w:t>
      </w:r>
      <w:proofErr w:type="spellEnd"/>
      <w:r w:rsidRPr="00903C0D">
        <w:rPr>
          <w:bCs/>
        </w:rPr>
        <w:t>”   per l’acquisto di  generi  alimentari o prodotti di prima necessità, spendibile presso tutti gli esercizi  commerciali conv</w:t>
      </w:r>
      <w:r w:rsidR="00D26639">
        <w:rPr>
          <w:bCs/>
        </w:rPr>
        <w:t>enzionati</w:t>
      </w:r>
      <w:r w:rsidRPr="00903C0D">
        <w:rPr>
          <w:bCs/>
        </w:rPr>
        <w:t xml:space="preserve">, il cui elenco </w:t>
      </w:r>
      <w:r>
        <w:rPr>
          <w:bCs/>
        </w:rPr>
        <w:t>sarà</w:t>
      </w:r>
      <w:r w:rsidRPr="00903C0D">
        <w:rPr>
          <w:bCs/>
        </w:rPr>
        <w:t xml:space="preserve"> disponibile sul sito is</w:t>
      </w:r>
      <w:r w:rsidR="00D26639">
        <w:rPr>
          <w:bCs/>
        </w:rPr>
        <w:t>tituzionale del Comun</w:t>
      </w:r>
      <w:r>
        <w:rPr>
          <w:bCs/>
        </w:rPr>
        <w:t>e</w:t>
      </w:r>
      <w:r w:rsidR="00D26639">
        <w:rPr>
          <w:bCs/>
        </w:rPr>
        <w:t xml:space="preserve"> di Sorrento, </w:t>
      </w:r>
      <w:r w:rsidR="00D26639" w:rsidRPr="00752E54">
        <w:rPr>
          <w:b/>
        </w:rPr>
        <w:t>https://www.comune.sorrento.na.it</w:t>
      </w:r>
    </w:p>
    <w:p w:rsid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 w:rsidRPr="00903C0D">
        <w:rPr>
          <w:bCs/>
        </w:rPr>
        <w:t xml:space="preserve"> </w:t>
      </w:r>
    </w:p>
    <w:p w:rsidR="00903C0D" w:rsidRPr="00865A97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/>
          <w:bCs/>
        </w:rPr>
      </w:pPr>
    </w:p>
    <w:p w:rsidR="00903C0D" w:rsidRPr="00865A97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/>
          <w:bCs/>
        </w:rPr>
      </w:pPr>
      <w:r w:rsidRPr="00865A97">
        <w:rPr>
          <w:b/>
          <w:bCs/>
        </w:rPr>
        <w:t xml:space="preserve">REQUISITI per la PRESENTAZIONE RICHIESTA DEI BUONI SPESA  </w:t>
      </w:r>
    </w:p>
    <w:p w:rsid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 w:rsidRPr="00903C0D">
        <w:rPr>
          <w:bCs/>
        </w:rPr>
        <w:t xml:space="preserve">La  famiglia,  che  intende  far  richiesta  del  contributo,  deve  essere  in  possesso  dei  seguenti requisiti: </w:t>
      </w:r>
    </w:p>
    <w:p w:rsid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>
        <w:rPr>
          <w:bCs/>
        </w:rPr>
        <w:tab/>
        <w:t>- Residenza nel Comune</w:t>
      </w:r>
      <w:r w:rsidRPr="00903C0D">
        <w:rPr>
          <w:bCs/>
        </w:rPr>
        <w:t xml:space="preserve"> </w:t>
      </w:r>
      <w:r>
        <w:rPr>
          <w:bCs/>
        </w:rPr>
        <w:t>di Sorrento</w:t>
      </w:r>
      <w:r w:rsidRPr="00903C0D">
        <w:rPr>
          <w:bCs/>
        </w:rPr>
        <w:t xml:space="preserve">      (per   i    cittadini    stranieri    non  appartenenti  all’Unione Europea,  è richiesto il possesso di un titolo di soggiorno in corso di validità);</w:t>
      </w:r>
    </w:p>
    <w:p w:rsid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>
        <w:rPr>
          <w:bCs/>
        </w:rPr>
        <w:tab/>
        <w:t>-</w:t>
      </w:r>
      <w:r w:rsidRPr="00903C0D">
        <w:rPr>
          <w:bCs/>
        </w:rPr>
        <w:t xml:space="preserve"> Essere in possesso di un </w:t>
      </w:r>
      <w:r w:rsidR="00000D33" w:rsidRPr="00000D33">
        <w:rPr>
          <w:bCs/>
        </w:rPr>
        <w:t>ISEE-CORRENTE</w:t>
      </w:r>
      <w:r w:rsidR="003C579A">
        <w:rPr>
          <w:bCs/>
        </w:rPr>
        <w:t xml:space="preserve"> o ORDI</w:t>
      </w:r>
      <w:r w:rsidR="00095635">
        <w:rPr>
          <w:bCs/>
        </w:rPr>
        <w:t>N</w:t>
      </w:r>
      <w:r w:rsidR="003C579A">
        <w:rPr>
          <w:bCs/>
        </w:rPr>
        <w:t>A</w:t>
      </w:r>
      <w:r w:rsidR="00095635">
        <w:rPr>
          <w:bCs/>
        </w:rPr>
        <w:t>RIO</w:t>
      </w:r>
      <w:r w:rsidR="00000D33" w:rsidRPr="00903C0D">
        <w:rPr>
          <w:bCs/>
        </w:rPr>
        <w:t xml:space="preserve">  </w:t>
      </w:r>
      <w:r w:rsidRPr="00903C0D">
        <w:rPr>
          <w:bCs/>
        </w:rPr>
        <w:t>non superiore a Euro 15.</w:t>
      </w:r>
      <w:r>
        <w:rPr>
          <w:bCs/>
        </w:rPr>
        <w:t>000,00</w:t>
      </w:r>
    </w:p>
    <w:p w:rsidR="00903C0D" w:rsidRP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>
        <w:rPr>
          <w:bCs/>
        </w:rPr>
        <w:tab/>
        <w:t>-</w:t>
      </w:r>
      <w:r w:rsidRPr="00903C0D">
        <w:rPr>
          <w:bCs/>
        </w:rPr>
        <w:t xml:space="preserve"> Perdita/Riduzione di reddito (da lavoro dipendente o assimilati – cassa integrazione – </w:t>
      </w:r>
      <w:proofErr w:type="spellStart"/>
      <w:r w:rsidRPr="00903C0D">
        <w:rPr>
          <w:bCs/>
        </w:rPr>
        <w:t>P.IVA</w:t>
      </w:r>
      <w:proofErr w:type="spellEnd"/>
      <w:r w:rsidRPr="00903C0D">
        <w:rPr>
          <w:bCs/>
        </w:rPr>
        <w:t xml:space="preserve">) </w:t>
      </w:r>
    </w:p>
    <w:p w:rsidR="00903C0D" w:rsidRPr="00865A97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/>
          <w:bCs/>
        </w:rPr>
      </w:pPr>
    </w:p>
    <w:p w:rsid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 w:rsidRPr="00865A97">
        <w:rPr>
          <w:b/>
          <w:bCs/>
        </w:rPr>
        <w:t>CONSISTENZA DEL CONTRIBUTO</w:t>
      </w:r>
      <w:r w:rsidRPr="00903C0D">
        <w:rPr>
          <w:bCs/>
        </w:rPr>
        <w:t xml:space="preserve"> </w:t>
      </w:r>
    </w:p>
    <w:p w:rsid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 w:rsidRPr="00903C0D">
        <w:rPr>
          <w:bCs/>
        </w:rPr>
        <w:t xml:space="preserve">I  buoni-spesa   verranno  assegnati   fino   ad   esaurimento  fondi, sulla  base   dell’indicatore  </w:t>
      </w:r>
      <w:r w:rsidRPr="00000D33">
        <w:rPr>
          <w:bCs/>
        </w:rPr>
        <w:t xml:space="preserve">ISEE </w:t>
      </w:r>
      <w:r w:rsidRPr="00903C0D">
        <w:rPr>
          <w:bCs/>
        </w:rPr>
        <w:t xml:space="preserve">con la seguente ripartizione: </w:t>
      </w:r>
    </w:p>
    <w:p w:rsidR="00865A97" w:rsidRDefault="00865A97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</w:p>
    <w:tbl>
      <w:tblPr>
        <w:tblStyle w:val="Grigliatabella"/>
        <w:tblW w:w="9404" w:type="dxa"/>
        <w:tblInd w:w="675" w:type="dxa"/>
        <w:tblLook w:val="04A0"/>
      </w:tblPr>
      <w:tblGrid>
        <w:gridCol w:w="6096"/>
        <w:gridCol w:w="3308"/>
      </w:tblGrid>
      <w:tr w:rsidR="00903C0D" w:rsidTr="00D5467D">
        <w:tc>
          <w:tcPr>
            <w:tcW w:w="6096" w:type="dxa"/>
          </w:tcPr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  <w:r>
              <w:t>COMPOSIZIONE NUCLEO FAMILIARE</w:t>
            </w:r>
            <w:r w:rsidR="00D5467D">
              <w:t xml:space="preserve"> AI FINI FISCALI</w:t>
            </w:r>
          </w:p>
        </w:tc>
        <w:tc>
          <w:tcPr>
            <w:tcW w:w="3308" w:type="dxa"/>
          </w:tcPr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  <w:r>
              <w:t>IMPORTO ASSEGNATO</w:t>
            </w:r>
          </w:p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</w:p>
        </w:tc>
      </w:tr>
      <w:tr w:rsidR="00903C0D" w:rsidTr="00D5467D">
        <w:trPr>
          <w:trHeight w:val="372"/>
        </w:trPr>
        <w:tc>
          <w:tcPr>
            <w:tcW w:w="6096" w:type="dxa"/>
          </w:tcPr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  <w:r>
              <w:t>1 COMPONENTI</w:t>
            </w:r>
          </w:p>
        </w:tc>
        <w:tc>
          <w:tcPr>
            <w:tcW w:w="3308" w:type="dxa"/>
          </w:tcPr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  <w:r>
              <w:t>€ 100,00</w:t>
            </w:r>
          </w:p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</w:p>
        </w:tc>
      </w:tr>
      <w:tr w:rsidR="00903C0D" w:rsidTr="00D5467D">
        <w:tc>
          <w:tcPr>
            <w:tcW w:w="6096" w:type="dxa"/>
          </w:tcPr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  <w:r>
              <w:t>2 COMPONENTI</w:t>
            </w:r>
          </w:p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</w:p>
        </w:tc>
        <w:tc>
          <w:tcPr>
            <w:tcW w:w="3308" w:type="dxa"/>
          </w:tcPr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  <w:r>
              <w:t>€ 150,00</w:t>
            </w:r>
          </w:p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</w:p>
        </w:tc>
      </w:tr>
      <w:tr w:rsidR="00903C0D" w:rsidTr="00D5467D">
        <w:tc>
          <w:tcPr>
            <w:tcW w:w="6096" w:type="dxa"/>
          </w:tcPr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  <w:r>
              <w:t>3 COMPONENTI</w:t>
            </w:r>
          </w:p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</w:p>
        </w:tc>
        <w:tc>
          <w:tcPr>
            <w:tcW w:w="3308" w:type="dxa"/>
          </w:tcPr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  <w:r>
              <w:t>€ 200,00</w:t>
            </w:r>
          </w:p>
        </w:tc>
      </w:tr>
      <w:tr w:rsidR="00903C0D" w:rsidTr="00D5467D">
        <w:tc>
          <w:tcPr>
            <w:tcW w:w="6096" w:type="dxa"/>
          </w:tcPr>
          <w:p w:rsidR="00095635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  <w:r>
              <w:t>4 COMPONENTI</w:t>
            </w:r>
          </w:p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</w:p>
        </w:tc>
        <w:tc>
          <w:tcPr>
            <w:tcW w:w="3308" w:type="dxa"/>
          </w:tcPr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  <w:r>
              <w:lastRenderedPageBreak/>
              <w:t>€ 250,00</w:t>
            </w:r>
          </w:p>
        </w:tc>
      </w:tr>
      <w:tr w:rsidR="00903C0D" w:rsidTr="00D5467D">
        <w:tc>
          <w:tcPr>
            <w:tcW w:w="6096" w:type="dxa"/>
          </w:tcPr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  <w:r>
              <w:lastRenderedPageBreak/>
              <w:t>5 O PIÙ COMPONENTI</w:t>
            </w:r>
          </w:p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</w:p>
        </w:tc>
        <w:tc>
          <w:tcPr>
            <w:tcW w:w="3308" w:type="dxa"/>
          </w:tcPr>
          <w:p w:rsidR="00903C0D" w:rsidRDefault="00903C0D" w:rsidP="00570160">
            <w:pPr>
              <w:widowControl w:val="0"/>
              <w:autoSpaceDE w:val="0"/>
              <w:autoSpaceDN w:val="0"/>
              <w:adjustRightInd w:val="0"/>
              <w:ind w:right="49"/>
              <w:jc w:val="both"/>
            </w:pPr>
            <w:r>
              <w:t>€ 300,00</w:t>
            </w:r>
          </w:p>
        </w:tc>
      </w:tr>
    </w:tbl>
    <w:p w:rsid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</w:p>
    <w:p w:rsidR="00903C0D" w:rsidRDefault="00865A97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>
        <w:rPr>
          <w:bCs/>
        </w:rPr>
        <w:t xml:space="preserve">A  parità  di  valore  </w:t>
      </w:r>
      <w:r w:rsidR="00D26639">
        <w:rPr>
          <w:bCs/>
        </w:rPr>
        <w:t>ISEE</w:t>
      </w:r>
      <w:r w:rsidR="00903C0D" w:rsidRPr="00903C0D">
        <w:rPr>
          <w:bCs/>
        </w:rPr>
        <w:t xml:space="preserve">,  i    buoni-spesa  verranno  assegnati    al  richiedente    con titolo preferenziale ad una o più delle seguenti condizioni:  </w:t>
      </w:r>
    </w:p>
    <w:p w:rsid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>
        <w:rPr>
          <w:bCs/>
        </w:rPr>
        <w:tab/>
        <w:t xml:space="preserve">- </w:t>
      </w:r>
      <w:r w:rsidRPr="00903C0D">
        <w:rPr>
          <w:bCs/>
        </w:rPr>
        <w:t xml:space="preserve">Nuclei familiari di cui facciano parte minori (punti 1 per minore) </w:t>
      </w:r>
    </w:p>
    <w:p w:rsid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>
        <w:rPr>
          <w:bCs/>
        </w:rPr>
        <w:tab/>
        <w:t>-</w:t>
      </w:r>
      <w:r w:rsidRPr="00903C0D">
        <w:rPr>
          <w:bCs/>
        </w:rPr>
        <w:t xml:space="preserve"> Nuclei </w:t>
      </w:r>
      <w:proofErr w:type="spellStart"/>
      <w:r w:rsidRPr="00903C0D">
        <w:rPr>
          <w:bCs/>
        </w:rPr>
        <w:t>monogenitoriali</w:t>
      </w:r>
      <w:proofErr w:type="spellEnd"/>
      <w:r w:rsidRPr="00903C0D">
        <w:rPr>
          <w:bCs/>
        </w:rPr>
        <w:t xml:space="preserve"> (punti 1 a nucleo) </w:t>
      </w:r>
    </w:p>
    <w:p w:rsid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>
        <w:rPr>
          <w:bCs/>
        </w:rPr>
        <w:tab/>
        <w:t xml:space="preserve">- </w:t>
      </w:r>
      <w:r w:rsidRPr="00903C0D">
        <w:rPr>
          <w:bCs/>
        </w:rPr>
        <w:t xml:space="preserve">Presenza nel nucleo familiare di disabilità permanenti (punti 1 per disabile)  </w:t>
      </w:r>
    </w:p>
    <w:p w:rsidR="00903C0D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</w:p>
    <w:p w:rsidR="00865A97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 w:rsidRPr="00903C0D">
        <w:rPr>
          <w:bCs/>
        </w:rPr>
        <w:t>I  cittadini   che  hanno  già  par</w:t>
      </w:r>
      <w:r w:rsidR="00D26639">
        <w:rPr>
          <w:bCs/>
        </w:rPr>
        <w:t xml:space="preserve">tecipato  al  bando  precedente, ad </w:t>
      </w:r>
      <w:r w:rsidRPr="00903C0D">
        <w:rPr>
          <w:bCs/>
        </w:rPr>
        <w:t xml:space="preserve"> Aprile  2020,  possono ripresentare la domanda di assegnazione del buono-spesa. </w:t>
      </w:r>
    </w:p>
    <w:p w:rsidR="00865A97" w:rsidRDefault="00865A97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</w:p>
    <w:p w:rsidR="00865A97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 w:rsidRPr="00000D33">
        <w:rPr>
          <w:bCs/>
        </w:rPr>
        <w:t xml:space="preserve">I    cittadini  </w:t>
      </w:r>
      <w:r w:rsidR="00865A97" w:rsidRPr="00000D33">
        <w:rPr>
          <w:bCs/>
        </w:rPr>
        <w:t xml:space="preserve">  che  </w:t>
      </w:r>
      <w:r w:rsidR="00DF66BA" w:rsidRPr="00000D33">
        <w:rPr>
          <w:bCs/>
        </w:rPr>
        <w:t xml:space="preserve">sono </w:t>
      </w:r>
      <w:r w:rsidR="00DF66BA" w:rsidRPr="00000D33">
        <w:t>percettori di reddito di cittadinanza (</w:t>
      </w:r>
      <w:proofErr w:type="spellStart"/>
      <w:r w:rsidR="00DF66BA" w:rsidRPr="00000D33">
        <w:t>RdC</w:t>
      </w:r>
      <w:proofErr w:type="spellEnd"/>
      <w:r w:rsidR="00DF66BA" w:rsidRPr="00000D33">
        <w:t>)  e/o reddito d’inclusione (REI</w:t>
      </w:r>
      <w:r w:rsidR="00DF66BA" w:rsidRPr="00000D33">
        <w:rPr>
          <w:bCs/>
        </w:rPr>
        <w:t>)</w:t>
      </w:r>
      <w:r w:rsidRPr="00000D33">
        <w:rPr>
          <w:bCs/>
        </w:rPr>
        <w:t xml:space="preserve">,  </w:t>
      </w:r>
      <w:r w:rsidRPr="00000D33">
        <w:rPr>
          <w:b/>
          <w:bCs/>
        </w:rPr>
        <w:t>non  possono</w:t>
      </w:r>
      <w:r w:rsidRPr="00000D33">
        <w:rPr>
          <w:bCs/>
        </w:rPr>
        <w:t xml:space="preserve">  presentare  la  domanda  di  assegnazione  del  buono-spesa,  pena  la decadenza di entrambi i benefici economici .</w:t>
      </w:r>
      <w:r w:rsidRPr="00903C0D">
        <w:rPr>
          <w:bCs/>
        </w:rPr>
        <w:t xml:space="preserve">  </w:t>
      </w:r>
    </w:p>
    <w:p w:rsidR="00865A97" w:rsidRDefault="00865A97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</w:p>
    <w:p w:rsidR="00865A97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 w:rsidRPr="00865A97">
        <w:rPr>
          <w:b/>
          <w:bCs/>
        </w:rPr>
        <w:t xml:space="preserve">MODALITA’   </w:t>
      </w:r>
      <w:proofErr w:type="spellStart"/>
      <w:r w:rsidRPr="00865A97">
        <w:rPr>
          <w:b/>
          <w:bCs/>
        </w:rPr>
        <w:t>DI</w:t>
      </w:r>
      <w:proofErr w:type="spellEnd"/>
      <w:r w:rsidRPr="00865A97">
        <w:rPr>
          <w:b/>
          <w:bCs/>
        </w:rPr>
        <w:t xml:space="preserve">   PRESENTAZIONE   DELLE   RICHIESTE   </w:t>
      </w:r>
      <w:proofErr w:type="spellStart"/>
      <w:r w:rsidRPr="00865A97">
        <w:rPr>
          <w:b/>
          <w:bCs/>
        </w:rPr>
        <w:t>DI</w:t>
      </w:r>
      <w:proofErr w:type="spellEnd"/>
      <w:r w:rsidRPr="00865A97">
        <w:rPr>
          <w:b/>
          <w:bCs/>
        </w:rPr>
        <w:t xml:space="preserve">   CONTRIBUTO   E PUBBLICITA’ DEL CONTRIBU</w:t>
      </w:r>
      <w:r w:rsidRPr="00903C0D">
        <w:rPr>
          <w:bCs/>
        </w:rPr>
        <w:t xml:space="preserve">TO  </w:t>
      </w:r>
    </w:p>
    <w:p w:rsidR="008572E2" w:rsidRDefault="008572E2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</w:p>
    <w:p w:rsidR="00E962D4" w:rsidRDefault="008572E2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>
        <w:rPr>
          <w:bCs/>
        </w:rPr>
        <w:t>L</w:t>
      </w:r>
      <w:r w:rsidR="009C273E">
        <w:rPr>
          <w:bCs/>
        </w:rPr>
        <w:t>e do</w:t>
      </w:r>
      <w:r w:rsidR="00570160">
        <w:rPr>
          <w:bCs/>
        </w:rPr>
        <w:t>m</w:t>
      </w:r>
      <w:r w:rsidR="009C273E">
        <w:rPr>
          <w:bCs/>
        </w:rPr>
        <w:t>a</w:t>
      </w:r>
      <w:r w:rsidR="00570160">
        <w:rPr>
          <w:bCs/>
        </w:rPr>
        <w:t>nde</w:t>
      </w:r>
      <w:r w:rsidR="00903C0D" w:rsidRPr="00903C0D">
        <w:rPr>
          <w:bCs/>
        </w:rPr>
        <w:t xml:space="preserve"> </w:t>
      </w:r>
      <w:r w:rsidR="00E962D4">
        <w:rPr>
          <w:bCs/>
        </w:rPr>
        <w:t xml:space="preserve">possono essere presentate, </w:t>
      </w:r>
      <w:r w:rsidR="00E962D4">
        <w:t>utilizzando l’allegato modello di autocertificazione</w:t>
      </w:r>
      <w:r w:rsidR="00E962D4">
        <w:rPr>
          <w:bCs/>
        </w:rPr>
        <w:t xml:space="preserve">: </w:t>
      </w:r>
    </w:p>
    <w:p w:rsidR="00095E9A" w:rsidRDefault="00E962D4" w:rsidP="00570160">
      <w:pPr>
        <w:widowControl w:val="0"/>
        <w:autoSpaceDE w:val="0"/>
        <w:autoSpaceDN w:val="0"/>
        <w:adjustRightInd w:val="0"/>
        <w:ind w:right="49"/>
        <w:jc w:val="both"/>
      </w:pPr>
      <w:r>
        <w:t>- a mezzo</w:t>
      </w:r>
      <w:r w:rsidR="008572E2" w:rsidRPr="004B174F">
        <w:t xml:space="preserve"> </w:t>
      </w:r>
      <w:proofErr w:type="spellStart"/>
      <w:r w:rsidR="008572E2" w:rsidRPr="004B174F">
        <w:t>emai</w:t>
      </w:r>
      <w:r w:rsidR="008572E2">
        <w:t>l</w:t>
      </w:r>
      <w:proofErr w:type="spellEnd"/>
      <w:r w:rsidR="008572E2">
        <w:t xml:space="preserve"> </w:t>
      </w:r>
      <w:r>
        <w:t xml:space="preserve">all’indirizzo </w:t>
      </w:r>
      <w:r w:rsidR="008572E2" w:rsidRPr="00752E54">
        <w:rPr>
          <w:b/>
        </w:rPr>
        <w:t>protocollo@pec.comune.sorrento.na.it</w:t>
      </w:r>
      <w:r w:rsidR="008572E2" w:rsidRPr="004B174F">
        <w:t>,</w:t>
      </w:r>
      <w:r>
        <w:t>;</w:t>
      </w:r>
    </w:p>
    <w:p w:rsidR="00E962D4" w:rsidRDefault="00E962D4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>
        <w:t xml:space="preserve">- a mano all’ufficio protocollo del Comune di Sorrento, </w:t>
      </w:r>
      <w:r w:rsidR="00CB1A29">
        <w:t xml:space="preserve">ubicato al primo piano dell’ edificio comunale </w:t>
      </w:r>
      <w:r>
        <w:t xml:space="preserve">sito in Piazza S. Antonino </w:t>
      </w:r>
      <w:r w:rsidR="00CB1A29">
        <w:t>14, aperto al pubblico dal lunedì al venerdì dalle ore 8.30 alle 12.30 e il martedì e giovedì dalle 15.30 alle 17.00.</w:t>
      </w:r>
      <w:r>
        <w:t xml:space="preserve"> </w:t>
      </w:r>
    </w:p>
    <w:p w:rsidR="00CB1A29" w:rsidRDefault="00CB1A29" w:rsidP="00CB1A29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>
        <w:rPr>
          <w:bCs/>
        </w:rPr>
        <w:t xml:space="preserve">Le domande dovranno essere presentate entro e non oltre le </w:t>
      </w:r>
      <w:r w:rsidRPr="00CB1A29">
        <w:rPr>
          <w:b/>
          <w:bCs/>
        </w:rPr>
        <w:t>ore 12.00 del</w:t>
      </w:r>
      <w:r w:rsidR="00095635">
        <w:rPr>
          <w:b/>
          <w:bCs/>
        </w:rPr>
        <w:t xml:space="preserve"> </w:t>
      </w:r>
      <w:r w:rsidRPr="00CB1A29">
        <w:rPr>
          <w:b/>
          <w:bCs/>
        </w:rPr>
        <w:t>08/01/2021</w:t>
      </w:r>
    </w:p>
    <w:p w:rsidR="00CB1A29" w:rsidRDefault="00CB1A29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</w:p>
    <w:p w:rsidR="00570160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 w:rsidRPr="00903C0D">
        <w:rPr>
          <w:bCs/>
        </w:rPr>
        <w:t>Il servizio sociale  comunale si servirà del supporto operativo</w:t>
      </w:r>
      <w:r w:rsidR="008572E2">
        <w:rPr>
          <w:bCs/>
        </w:rPr>
        <w:t xml:space="preserve"> della locale Protezione Civile</w:t>
      </w:r>
      <w:r w:rsidRPr="00903C0D">
        <w:rPr>
          <w:bCs/>
        </w:rPr>
        <w:t xml:space="preserve">, </w:t>
      </w:r>
      <w:r w:rsidR="008572E2">
        <w:rPr>
          <w:bCs/>
        </w:rPr>
        <w:t xml:space="preserve">e/o di altre associazioni di volontariato </w:t>
      </w:r>
      <w:r w:rsidRPr="00903C0D">
        <w:rPr>
          <w:bCs/>
        </w:rPr>
        <w:t>per la consegna domiciliare dei Buoni Sp</w:t>
      </w:r>
      <w:r w:rsidR="00000D33">
        <w:rPr>
          <w:bCs/>
        </w:rPr>
        <w:t>esa</w:t>
      </w:r>
      <w:r w:rsidR="00570160">
        <w:rPr>
          <w:bCs/>
        </w:rPr>
        <w:t>, al fine di evitare assembr</w:t>
      </w:r>
      <w:r w:rsidRPr="00903C0D">
        <w:rPr>
          <w:bCs/>
        </w:rPr>
        <w:t>amenti e</w:t>
      </w:r>
      <w:r w:rsidR="008572E2">
        <w:rPr>
          <w:bCs/>
        </w:rPr>
        <w:t xml:space="preserve"> garantire la riservatezza </w:t>
      </w:r>
      <w:r w:rsidR="00570160">
        <w:rPr>
          <w:bCs/>
        </w:rPr>
        <w:t>dei richiedenti</w:t>
      </w:r>
      <w:r w:rsidR="00095E9A">
        <w:rPr>
          <w:bCs/>
        </w:rPr>
        <w:t>.</w:t>
      </w:r>
    </w:p>
    <w:p w:rsidR="00CB1A29" w:rsidRDefault="00CB1A29" w:rsidP="00570160">
      <w:pPr>
        <w:widowControl w:val="0"/>
        <w:autoSpaceDE w:val="0"/>
        <w:autoSpaceDN w:val="0"/>
        <w:adjustRightInd w:val="0"/>
        <w:ind w:right="49"/>
        <w:jc w:val="both"/>
        <w:rPr>
          <w:b/>
          <w:bCs/>
        </w:rPr>
      </w:pPr>
    </w:p>
    <w:p w:rsidR="00570160" w:rsidRPr="009C273E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/>
          <w:bCs/>
        </w:rPr>
      </w:pPr>
      <w:r w:rsidRPr="009C273E">
        <w:rPr>
          <w:b/>
          <w:bCs/>
        </w:rPr>
        <w:t xml:space="preserve">GRADUATORIA </w:t>
      </w:r>
    </w:p>
    <w:p w:rsidR="00461D99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 w:rsidRPr="00903C0D">
        <w:rPr>
          <w:bCs/>
        </w:rPr>
        <w:t>I richiedenti il contributo, aventi i requisiti per ottenerlo, s</w:t>
      </w:r>
      <w:r w:rsidR="00461D99">
        <w:rPr>
          <w:bCs/>
        </w:rPr>
        <w:t>aranno</w:t>
      </w:r>
      <w:r w:rsidRPr="00903C0D">
        <w:rPr>
          <w:bCs/>
        </w:rPr>
        <w:t xml:space="preserve"> inseriti in specifica graduatori</w:t>
      </w:r>
      <w:r w:rsidR="00461D99">
        <w:rPr>
          <w:bCs/>
        </w:rPr>
        <w:t>a, agli atti dell’ufficio di competenza.</w:t>
      </w:r>
    </w:p>
    <w:p w:rsidR="00570160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 w:rsidRPr="00903C0D">
        <w:rPr>
          <w:bCs/>
        </w:rPr>
        <w:t>I  buoni-spesa  verranno  assegnati  in  base  all’indicatore  I</w:t>
      </w:r>
      <w:r w:rsidR="00000D33" w:rsidRPr="00903C0D">
        <w:rPr>
          <w:bCs/>
        </w:rPr>
        <w:t>SEE</w:t>
      </w:r>
      <w:r w:rsidRPr="00903C0D">
        <w:rPr>
          <w:bCs/>
        </w:rPr>
        <w:t xml:space="preserve">  in  ordine  crescente,  in  caso  di parità  si  procederà  nell’assegnazione  con  i  titoli preferenziali  indicati  precedentemente  e nell’eventualità di ulteriore parità si privilegerà il nucleo familiare che presenta il componente più anziano.</w:t>
      </w:r>
    </w:p>
    <w:p w:rsidR="00570160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 w:rsidRPr="00903C0D">
        <w:rPr>
          <w:bCs/>
        </w:rPr>
        <w:t xml:space="preserve">In ogni fase di “passaggio” dei buoni spesa il ricevente sottoscrive per ricevuta: </w:t>
      </w:r>
    </w:p>
    <w:p w:rsidR="00570160" w:rsidRDefault="00095635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>
        <w:rPr>
          <w:bCs/>
        </w:rPr>
        <w:lastRenderedPageBreak/>
        <w:t xml:space="preserve">- </w:t>
      </w:r>
      <w:r w:rsidR="00903C0D" w:rsidRPr="00903C0D">
        <w:rPr>
          <w:bCs/>
        </w:rPr>
        <w:t>il Comune al ricevimento dei Buoni Pasto per il tra</w:t>
      </w:r>
      <w:r w:rsidR="00570160">
        <w:rPr>
          <w:bCs/>
        </w:rPr>
        <w:t xml:space="preserve">mite del </w:t>
      </w:r>
      <w:r w:rsidR="009C0F18">
        <w:rPr>
          <w:bCs/>
        </w:rPr>
        <w:t>Responsabile dell’Ufficio Servizi Sociali</w:t>
      </w:r>
      <w:r w:rsidR="00903C0D" w:rsidRPr="00903C0D">
        <w:rPr>
          <w:bCs/>
        </w:rPr>
        <w:t xml:space="preserve">; </w:t>
      </w:r>
    </w:p>
    <w:p w:rsidR="00570160" w:rsidRDefault="00095635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>
        <w:rPr>
          <w:bCs/>
        </w:rPr>
        <w:t xml:space="preserve">- </w:t>
      </w:r>
      <w:r w:rsidR="00903C0D" w:rsidRPr="00903C0D">
        <w:rPr>
          <w:bCs/>
        </w:rPr>
        <w:t xml:space="preserve">la Protezione Civile al ricevimento dal Comune; </w:t>
      </w:r>
    </w:p>
    <w:p w:rsidR="00570160" w:rsidRDefault="00095635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>
        <w:rPr>
          <w:bCs/>
        </w:rPr>
        <w:t xml:space="preserve">- </w:t>
      </w:r>
      <w:r w:rsidR="00903C0D" w:rsidRPr="00903C0D">
        <w:rPr>
          <w:bCs/>
        </w:rPr>
        <w:t>il richiedente al ricevimento dalla Protezione Civile</w:t>
      </w:r>
      <w:r w:rsidR="009C273E">
        <w:rPr>
          <w:bCs/>
        </w:rPr>
        <w:t xml:space="preserve"> o di altra associazione di volontariato incaricata alla distribuzione dei buoni spesa.</w:t>
      </w:r>
      <w:r w:rsidR="00903C0D" w:rsidRPr="00903C0D">
        <w:rPr>
          <w:bCs/>
        </w:rPr>
        <w:t xml:space="preserve">. </w:t>
      </w:r>
    </w:p>
    <w:p w:rsidR="00570160" w:rsidRPr="009C273E" w:rsidRDefault="00570160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</w:p>
    <w:p w:rsidR="00570160" w:rsidRPr="009C273E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/>
          <w:bCs/>
        </w:rPr>
      </w:pPr>
      <w:r w:rsidRPr="009C273E">
        <w:rPr>
          <w:b/>
          <w:bCs/>
        </w:rPr>
        <w:t xml:space="preserve">RESPONSABILE del PROCEDIMENTO </w:t>
      </w:r>
    </w:p>
    <w:p w:rsidR="00570160" w:rsidRPr="009C273E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  <w:r w:rsidRPr="009C273E">
        <w:rPr>
          <w:bCs/>
        </w:rPr>
        <w:t>Ai  sensi  dell’art.  6-bis,  L.  7.8.1990,  n.  241,  introdotto  dall’art.  1,  co</w:t>
      </w:r>
      <w:r w:rsidR="009C273E" w:rsidRPr="009C273E">
        <w:rPr>
          <w:bCs/>
        </w:rPr>
        <w:t>mma  41,  L.  6.11.2012, n.190</w:t>
      </w:r>
      <w:r w:rsidRPr="009C273E">
        <w:rPr>
          <w:bCs/>
        </w:rPr>
        <w:t xml:space="preserve">,  viene  individuata  </w:t>
      </w:r>
      <w:r w:rsidR="009C273E" w:rsidRPr="009C273E">
        <w:rPr>
          <w:bCs/>
        </w:rPr>
        <w:t xml:space="preserve">la Dott.ssa Giovanna </w:t>
      </w:r>
      <w:proofErr w:type="spellStart"/>
      <w:r w:rsidR="009C273E" w:rsidRPr="009C273E">
        <w:rPr>
          <w:bCs/>
        </w:rPr>
        <w:t>Galano</w:t>
      </w:r>
      <w:proofErr w:type="spellEnd"/>
      <w:r w:rsidR="009C273E" w:rsidRPr="009C273E">
        <w:rPr>
          <w:bCs/>
        </w:rPr>
        <w:t xml:space="preserve">, Istruttore Direttivo dell’ Ufficio Servizi Sociali,  quale </w:t>
      </w:r>
      <w:r w:rsidRPr="009C273E">
        <w:rPr>
          <w:bCs/>
        </w:rPr>
        <w:t xml:space="preserve">  </w:t>
      </w:r>
      <w:r w:rsidR="009C273E" w:rsidRPr="009C273E">
        <w:rPr>
          <w:bCs/>
        </w:rPr>
        <w:t xml:space="preserve">responsabile </w:t>
      </w:r>
      <w:r w:rsidRPr="009C273E">
        <w:rPr>
          <w:bCs/>
        </w:rPr>
        <w:t xml:space="preserve">  dell’  istruttoria    tecnica  per  l’  individuazione  della  graduatoria  degli aventi  diritto</w:t>
      </w:r>
      <w:r w:rsidR="009C273E" w:rsidRPr="009C273E">
        <w:rPr>
          <w:bCs/>
        </w:rPr>
        <w:t>.</w:t>
      </w:r>
    </w:p>
    <w:p w:rsidR="009C273E" w:rsidRDefault="009C273E" w:rsidP="00570160">
      <w:pPr>
        <w:widowControl w:val="0"/>
        <w:autoSpaceDE w:val="0"/>
        <w:autoSpaceDN w:val="0"/>
        <w:adjustRightInd w:val="0"/>
        <w:ind w:right="49"/>
        <w:jc w:val="both"/>
        <w:rPr>
          <w:bCs/>
        </w:rPr>
      </w:pPr>
    </w:p>
    <w:p w:rsidR="00570160" w:rsidRPr="009C273E" w:rsidRDefault="00903C0D" w:rsidP="00570160">
      <w:pPr>
        <w:widowControl w:val="0"/>
        <w:autoSpaceDE w:val="0"/>
        <w:autoSpaceDN w:val="0"/>
        <w:adjustRightInd w:val="0"/>
        <w:ind w:right="49"/>
        <w:jc w:val="both"/>
        <w:rPr>
          <w:b/>
          <w:bCs/>
        </w:rPr>
      </w:pPr>
      <w:r w:rsidRPr="009C273E">
        <w:rPr>
          <w:b/>
          <w:bCs/>
        </w:rPr>
        <w:t xml:space="preserve">CONTROLLI  </w:t>
      </w:r>
    </w:p>
    <w:p w:rsidR="00CB6C94" w:rsidRPr="00903C0D" w:rsidRDefault="009C273E" w:rsidP="00570160">
      <w:pPr>
        <w:widowControl w:val="0"/>
        <w:autoSpaceDE w:val="0"/>
        <w:autoSpaceDN w:val="0"/>
        <w:adjustRightInd w:val="0"/>
        <w:ind w:right="49"/>
        <w:jc w:val="both"/>
        <w:rPr>
          <w:rFonts w:eastAsiaTheme="minorEastAsia"/>
        </w:rPr>
      </w:pPr>
      <w:r>
        <w:rPr>
          <w:bCs/>
        </w:rPr>
        <w:t>T</w:t>
      </w:r>
      <w:r w:rsidR="00903C0D" w:rsidRPr="00903C0D">
        <w:rPr>
          <w:bCs/>
        </w:rPr>
        <w:t>utte  le  richieste  di  contributo  sono  inviate  alla Guardia  di  Finanza  per  i  controlli  sulle dichiarazioni fatte. Le  false  dichiarazioni  saranno  perseguite  in  sede  penale  e  civile,  con  l’aggravante  di  essere state commesse in un momento di emergenza sanitaria. Tutti  i  beneficiari  del  contributo,  accettano  eventuali  contr</w:t>
      </w:r>
      <w:r>
        <w:rPr>
          <w:bCs/>
        </w:rPr>
        <w:t>olli  a  campione,   atti  a  verificare</w:t>
      </w:r>
      <w:r w:rsidR="00903C0D" w:rsidRPr="00903C0D">
        <w:rPr>
          <w:bCs/>
        </w:rPr>
        <w:t xml:space="preserve"> </w:t>
      </w:r>
      <w:r>
        <w:rPr>
          <w:bCs/>
        </w:rPr>
        <w:t>quanto dichiarato.</w:t>
      </w:r>
    </w:p>
    <w:sectPr w:rsidR="00CB6C94" w:rsidRPr="00903C0D" w:rsidSect="00564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7A7" w:rsidRDefault="00A957A7" w:rsidP="00774354">
      <w:r>
        <w:separator/>
      </w:r>
    </w:p>
  </w:endnote>
  <w:endnote w:type="continuationSeparator" w:id="0">
    <w:p w:rsidR="00A957A7" w:rsidRDefault="00A957A7" w:rsidP="00774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993"/>
    </w:tblGrid>
    <w:tr w:rsidR="00212B8F" w:rsidRPr="008C404B" w:rsidTr="009A3D06">
      <w:trPr>
        <w:trHeight w:val="433"/>
      </w:trPr>
      <w:tc>
        <w:tcPr>
          <w:tcW w:w="9993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212B8F" w:rsidRPr="008C404B" w:rsidRDefault="00212B8F" w:rsidP="009A3D06">
          <w:pPr>
            <w:pStyle w:val="Pidipagina"/>
            <w:rPr>
              <w:sz w:val="20"/>
            </w:rPr>
          </w:pPr>
        </w:p>
      </w:tc>
    </w:tr>
  </w:tbl>
  <w:p w:rsidR="00212B8F" w:rsidRPr="008C404B" w:rsidRDefault="00212B8F" w:rsidP="00212B8F">
    <w:pPr>
      <w:pStyle w:val="Pidipagina"/>
      <w:jc w:val="center"/>
      <w:rPr>
        <w:sz w:val="8"/>
        <w:szCs w:val="8"/>
      </w:rPr>
    </w:pPr>
  </w:p>
  <w:p w:rsidR="00212B8F" w:rsidRDefault="00212B8F" w:rsidP="00212B8F">
    <w:pPr>
      <w:pStyle w:val="Pidipagina"/>
      <w:jc w:val="center"/>
      <w:rPr>
        <w:rFonts w:eastAsia="Arial Unicode MS"/>
        <w:sz w:val="20"/>
        <w:lang w:val="fr-FR"/>
      </w:rPr>
    </w:pPr>
    <w:r>
      <w:rPr>
        <w:sz w:val="20"/>
      </w:rPr>
      <w:t xml:space="preserve">Piazza S. Antonino - 80067 Sorrento - Italy - Tel. </w:t>
    </w:r>
    <w:r>
      <w:rPr>
        <w:sz w:val="20"/>
        <w:lang w:val="fr-FR"/>
      </w:rPr>
      <w:t>(+39) 081 5335111 - Fax (+39) 081 8771980</w:t>
    </w:r>
  </w:p>
  <w:p w:rsidR="00212B8F" w:rsidRDefault="00212B8F" w:rsidP="00212B8F">
    <w:pPr>
      <w:pStyle w:val="Pidipagina"/>
      <w:jc w:val="center"/>
      <w:rPr>
        <w:rFonts w:eastAsia="Arial Unicode MS"/>
        <w:sz w:val="20"/>
        <w:lang w:val="fr-FR"/>
      </w:rPr>
    </w:pPr>
    <w:r>
      <w:rPr>
        <w:sz w:val="20"/>
        <w:lang w:val="fr-FR"/>
      </w:rPr>
      <w:t>info@comune.sorrento.na.it  -  www.comune.sorrento.na.it</w:t>
    </w:r>
  </w:p>
  <w:p w:rsidR="00212B8F" w:rsidRDefault="00212B8F" w:rsidP="00212B8F">
    <w:pPr>
      <w:pStyle w:val="Pidipagina"/>
      <w:jc w:val="center"/>
      <w:rPr>
        <w:sz w:val="20"/>
        <w:szCs w:val="20"/>
      </w:rPr>
    </w:pPr>
    <w:r>
      <w:rPr>
        <w:sz w:val="20"/>
        <w:szCs w:val="20"/>
      </w:rPr>
      <w:t>Comune di Sorrento - Determinazione n. 464 del 09/04/2020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993"/>
    </w:tblGrid>
    <w:tr w:rsidR="00C5691B" w:rsidRPr="008C404B" w:rsidTr="00517860">
      <w:trPr>
        <w:trHeight w:val="433"/>
      </w:trPr>
      <w:tc>
        <w:tcPr>
          <w:tcW w:w="9993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C5691B" w:rsidRPr="008C404B" w:rsidRDefault="00C5691B" w:rsidP="00517860">
          <w:pPr>
            <w:pStyle w:val="Pidipagina"/>
            <w:rPr>
              <w:sz w:val="20"/>
            </w:rPr>
          </w:pPr>
        </w:p>
      </w:tc>
    </w:tr>
  </w:tbl>
  <w:p w:rsidR="00C5691B" w:rsidRPr="008C404B" w:rsidRDefault="00C5691B" w:rsidP="00C5691B">
    <w:pPr>
      <w:pStyle w:val="Pidipagina"/>
      <w:jc w:val="center"/>
      <w:rPr>
        <w:sz w:val="8"/>
        <w:szCs w:val="8"/>
      </w:rPr>
    </w:pPr>
  </w:p>
  <w:p w:rsidR="00C5691B" w:rsidRDefault="00C5691B" w:rsidP="00C5691B">
    <w:pPr>
      <w:pStyle w:val="Pidipagina"/>
      <w:jc w:val="center"/>
      <w:rPr>
        <w:rFonts w:eastAsia="Arial Unicode MS"/>
        <w:sz w:val="20"/>
        <w:lang w:val="fr-FR"/>
      </w:rPr>
    </w:pPr>
    <w:r>
      <w:rPr>
        <w:sz w:val="20"/>
      </w:rPr>
      <w:t xml:space="preserve">Piazza S. Antonino - 80067 Sorrento - Italy - Tel. </w:t>
    </w:r>
    <w:r>
      <w:rPr>
        <w:sz w:val="20"/>
        <w:lang w:val="fr-FR"/>
      </w:rPr>
      <w:t>(+39) 081 5335111 - Fax (+39) 081 8771980</w:t>
    </w:r>
  </w:p>
  <w:p w:rsidR="00C5691B" w:rsidRDefault="00C5691B" w:rsidP="00C5691B">
    <w:pPr>
      <w:pStyle w:val="Pidipagina"/>
      <w:jc w:val="center"/>
      <w:rPr>
        <w:rFonts w:eastAsia="Arial Unicode MS"/>
        <w:sz w:val="20"/>
        <w:lang w:val="fr-FR"/>
      </w:rPr>
    </w:pPr>
    <w:r>
      <w:rPr>
        <w:sz w:val="20"/>
        <w:lang w:val="fr-FR"/>
      </w:rPr>
      <w:t>info@comune.sorrento.na.it  -  www.comune.sorrento.na.it</w:t>
    </w:r>
  </w:p>
  <w:p w:rsidR="00C5691B" w:rsidRDefault="00C5691B" w:rsidP="00C5691B">
    <w:pPr>
      <w:pStyle w:val="Pidipagina"/>
      <w:jc w:val="center"/>
      <w:rPr>
        <w:sz w:val="20"/>
        <w:szCs w:val="20"/>
      </w:rPr>
    </w:pPr>
    <w:r>
      <w:rPr>
        <w:sz w:val="20"/>
        <w:szCs w:val="20"/>
      </w:rPr>
      <w:t>Comune di Sorrento - Determinazione n. 464 del 09/04/2020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D68" w:rsidRDefault="00A957A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7A7" w:rsidRDefault="00A957A7" w:rsidP="00774354">
      <w:r>
        <w:separator/>
      </w:r>
    </w:p>
  </w:footnote>
  <w:footnote w:type="continuationSeparator" w:id="0">
    <w:p w:rsidR="00A957A7" w:rsidRDefault="00A957A7" w:rsidP="007743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993"/>
    </w:tblGrid>
    <w:tr w:rsidR="00212B8F" w:rsidTr="009A3D06">
      <w:tc>
        <w:tcPr>
          <w:tcW w:w="9993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212B8F" w:rsidRDefault="00212B8F" w:rsidP="009A3D06">
          <w:pPr>
            <w:widowControl w:val="0"/>
            <w:autoSpaceDE w:val="0"/>
            <w:autoSpaceDN w:val="0"/>
            <w:adjustRightInd w:val="0"/>
            <w:jc w:val="center"/>
            <w:rPr>
              <w:sz w:val="12"/>
              <w:szCs w:val="12"/>
            </w:rPr>
          </w:pPr>
        </w:p>
        <w:p w:rsidR="00212B8F" w:rsidRDefault="003C1E9B" w:rsidP="009A3D06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981200" cy="1165860"/>
                <wp:effectExtent l="1905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2B8F" w:rsidRPr="00212B8F" w:rsidRDefault="00212B8F" w:rsidP="00212B8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993"/>
    </w:tblGrid>
    <w:tr w:rsidR="00774354" w:rsidTr="00517860">
      <w:tc>
        <w:tcPr>
          <w:tcW w:w="9993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774354" w:rsidRDefault="00774354" w:rsidP="00517860">
          <w:pPr>
            <w:widowControl w:val="0"/>
            <w:autoSpaceDE w:val="0"/>
            <w:autoSpaceDN w:val="0"/>
            <w:adjustRightInd w:val="0"/>
            <w:jc w:val="center"/>
            <w:rPr>
              <w:sz w:val="12"/>
              <w:szCs w:val="12"/>
            </w:rPr>
          </w:pPr>
        </w:p>
        <w:p w:rsidR="00774354" w:rsidRDefault="003C1E9B" w:rsidP="00517860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981200" cy="1165860"/>
                <wp:effectExtent l="1905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4354" w:rsidRPr="00774354" w:rsidRDefault="00774354" w:rsidP="0077435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D68" w:rsidRDefault="00A957A7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90D76"/>
    <w:rsid w:val="00000D33"/>
    <w:rsid w:val="00032F05"/>
    <w:rsid w:val="000546EF"/>
    <w:rsid w:val="00076B4F"/>
    <w:rsid w:val="00095635"/>
    <w:rsid w:val="00095E9A"/>
    <w:rsid w:val="000A628B"/>
    <w:rsid w:val="000C60BE"/>
    <w:rsid w:val="00104096"/>
    <w:rsid w:val="0015577E"/>
    <w:rsid w:val="00156016"/>
    <w:rsid w:val="00172A81"/>
    <w:rsid w:val="00173062"/>
    <w:rsid w:val="0017746A"/>
    <w:rsid w:val="00195B35"/>
    <w:rsid w:val="001A6F84"/>
    <w:rsid w:val="001A7685"/>
    <w:rsid w:val="001E5621"/>
    <w:rsid w:val="001F5168"/>
    <w:rsid w:val="00212B8F"/>
    <w:rsid w:val="00236760"/>
    <w:rsid w:val="00290D76"/>
    <w:rsid w:val="002E5207"/>
    <w:rsid w:val="002F3918"/>
    <w:rsid w:val="003274E0"/>
    <w:rsid w:val="003278AA"/>
    <w:rsid w:val="00345DFE"/>
    <w:rsid w:val="003521EF"/>
    <w:rsid w:val="003545F0"/>
    <w:rsid w:val="0035502A"/>
    <w:rsid w:val="00381C67"/>
    <w:rsid w:val="003C1E9B"/>
    <w:rsid w:val="003C1FEF"/>
    <w:rsid w:val="003C579A"/>
    <w:rsid w:val="003D4ACF"/>
    <w:rsid w:val="004022BF"/>
    <w:rsid w:val="00457491"/>
    <w:rsid w:val="00461D99"/>
    <w:rsid w:val="00466A3E"/>
    <w:rsid w:val="00472ABA"/>
    <w:rsid w:val="004869B4"/>
    <w:rsid w:val="004D3534"/>
    <w:rsid w:val="00517860"/>
    <w:rsid w:val="0052356E"/>
    <w:rsid w:val="00530F24"/>
    <w:rsid w:val="00531D92"/>
    <w:rsid w:val="00570160"/>
    <w:rsid w:val="00580C61"/>
    <w:rsid w:val="005E40BF"/>
    <w:rsid w:val="00602254"/>
    <w:rsid w:val="00612058"/>
    <w:rsid w:val="00646F70"/>
    <w:rsid w:val="00667652"/>
    <w:rsid w:val="00696C70"/>
    <w:rsid w:val="006B097C"/>
    <w:rsid w:val="00704AED"/>
    <w:rsid w:val="00731705"/>
    <w:rsid w:val="00744E6A"/>
    <w:rsid w:val="00774354"/>
    <w:rsid w:val="007C0204"/>
    <w:rsid w:val="00802602"/>
    <w:rsid w:val="00803369"/>
    <w:rsid w:val="008572E2"/>
    <w:rsid w:val="00865A97"/>
    <w:rsid w:val="008A21F2"/>
    <w:rsid w:val="008B1910"/>
    <w:rsid w:val="008C06B2"/>
    <w:rsid w:val="008C404B"/>
    <w:rsid w:val="00903C0D"/>
    <w:rsid w:val="009723A7"/>
    <w:rsid w:val="009804C3"/>
    <w:rsid w:val="00993501"/>
    <w:rsid w:val="009A3D06"/>
    <w:rsid w:val="009B346E"/>
    <w:rsid w:val="009C0F18"/>
    <w:rsid w:val="009C273E"/>
    <w:rsid w:val="00A45137"/>
    <w:rsid w:val="00A5277D"/>
    <w:rsid w:val="00A571D2"/>
    <w:rsid w:val="00A6363C"/>
    <w:rsid w:val="00A64BB7"/>
    <w:rsid w:val="00A860C7"/>
    <w:rsid w:val="00A957A7"/>
    <w:rsid w:val="00A97CC2"/>
    <w:rsid w:val="00AD5693"/>
    <w:rsid w:val="00B33BF0"/>
    <w:rsid w:val="00B85F54"/>
    <w:rsid w:val="00B86579"/>
    <w:rsid w:val="00BC48DE"/>
    <w:rsid w:val="00C46ECA"/>
    <w:rsid w:val="00C52CC2"/>
    <w:rsid w:val="00C5691B"/>
    <w:rsid w:val="00CB1A29"/>
    <w:rsid w:val="00CB6C94"/>
    <w:rsid w:val="00CF0D16"/>
    <w:rsid w:val="00D16BCA"/>
    <w:rsid w:val="00D26639"/>
    <w:rsid w:val="00D343C8"/>
    <w:rsid w:val="00D4600B"/>
    <w:rsid w:val="00D5467D"/>
    <w:rsid w:val="00D71D85"/>
    <w:rsid w:val="00D84A89"/>
    <w:rsid w:val="00DB0AE1"/>
    <w:rsid w:val="00DF44E5"/>
    <w:rsid w:val="00DF66BA"/>
    <w:rsid w:val="00E108F7"/>
    <w:rsid w:val="00E54CB1"/>
    <w:rsid w:val="00E56673"/>
    <w:rsid w:val="00E5797B"/>
    <w:rsid w:val="00E67261"/>
    <w:rsid w:val="00E962D4"/>
    <w:rsid w:val="00EA0BB7"/>
    <w:rsid w:val="00EB3218"/>
    <w:rsid w:val="00F2172A"/>
    <w:rsid w:val="00F314AB"/>
    <w:rsid w:val="00F36338"/>
    <w:rsid w:val="00F51324"/>
    <w:rsid w:val="00F54586"/>
    <w:rsid w:val="00F97FB6"/>
    <w:rsid w:val="00FE14E8"/>
    <w:rsid w:val="00FF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501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90D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93501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74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74354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35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350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3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C1FC45D-EE15-4512-9250-D9C32868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Eserc</vt:lpstr>
    </vt:vector>
  </TitlesOfParts>
  <Company>Intersiel S.p.A.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</dc:title>
  <dc:creator>Vercillo Franco</dc:creator>
  <cp:lastModifiedBy>eventi2</cp:lastModifiedBy>
  <cp:revision>10</cp:revision>
  <cp:lastPrinted>2020-12-17T12:02:00Z</cp:lastPrinted>
  <dcterms:created xsi:type="dcterms:W3CDTF">2020-12-14T13:06:00Z</dcterms:created>
  <dcterms:modified xsi:type="dcterms:W3CDTF">2020-12-21T10:17:00Z</dcterms:modified>
</cp:coreProperties>
</file>