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2A" w:rsidRPr="00452936" w:rsidRDefault="005343A5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  <w:bookmarkStart w:id="0" w:name="_GoBack"/>
      <w:bookmarkEnd w:id="0"/>
      <w:r w:rsidRPr="00452936">
        <w:rPr>
          <w:rFonts w:ascii="Titillium" w:hAnsi="Titillium"/>
          <w:b/>
          <w:iCs/>
          <w:sz w:val="20"/>
          <w:szCs w:val="20"/>
        </w:rPr>
        <w:t xml:space="preserve"> </w:t>
      </w:r>
    </w:p>
    <w:p w:rsidR="00452936" w:rsidRDefault="00452936" w:rsidP="005E2A50">
      <w:pPr>
        <w:pStyle w:val="Intestazione"/>
        <w:jc w:val="right"/>
        <w:rPr>
          <w:rFonts w:ascii="Titillium" w:hAnsi="Titillium"/>
          <w:b/>
          <w:sz w:val="20"/>
          <w:szCs w:val="20"/>
        </w:rPr>
      </w:pPr>
    </w:p>
    <w:p w:rsidR="00F374D9" w:rsidRPr="00452936" w:rsidRDefault="00F374D9" w:rsidP="005E2A50">
      <w:pPr>
        <w:pStyle w:val="Intestazione"/>
        <w:jc w:val="right"/>
        <w:rPr>
          <w:rFonts w:ascii="Titillium" w:hAnsi="Titillium"/>
          <w:b/>
          <w:sz w:val="20"/>
          <w:szCs w:val="20"/>
          <w:lang w:eastAsia="ar-SA"/>
        </w:rPr>
      </w:pPr>
      <w:r w:rsidRPr="00452936">
        <w:rPr>
          <w:rFonts w:ascii="Titillium" w:hAnsi="Titillium"/>
          <w:b/>
          <w:sz w:val="20"/>
          <w:szCs w:val="20"/>
        </w:rPr>
        <w:t>Allegato 5 alla deli</w:t>
      </w:r>
      <w:r w:rsidRPr="00D211E9">
        <w:rPr>
          <w:rFonts w:ascii="Titillium" w:hAnsi="Titillium"/>
          <w:b/>
          <w:sz w:val="20"/>
          <w:szCs w:val="20"/>
        </w:rPr>
        <w:t xml:space="preserve">bera </w:t>
      </w:r>
      <w:r w:rsidR="00B6251F" w:rsidRPr="00D211E9">
        <w:rPr>
          <w:rFonts w:ascii="Titillium" w:hAnsi="Titillium"/>
          <w:b/>
          <w:sz w:val="20"/>
          <w:szCs w:val="20"/>
        </w:rPr>
        <w:t xml:space="preserve">ANAC </w:t>
      </w:r>
      <w:r w:rsidRPr="00D211E9">
        <w:rPr>
          <w:rFonts w:ascii="Titillium" w:hAnsi="Titillium"/>
          <w:b/>
          <w:sz w:val="20"/>
          <w:szCs w:val="20"/>
        </w:rPr>
        <w:t xml:space="preserve">n. </w:t>
      </w:r>
      <w:r w:rsidR="00D211E9" w:rsidRPr="00D211E9">
        <w:rPr>
          <w:rFonts w:ascii="Titillium" w:hAnsi="Titillium"/>
          <w:b/>
          <w:sz w:val="20"/>
          <w:szCs w:val="20"/>
        </w:rPr>
        <w:t>294</w:t>
      </w:r>
      <w:r w:rsidR="00767297" w:rsidRPr="00D211E9">
        <w:rPr>
          <w:rFonts w:ascii="Titillium" w:hAnsi="Titillium"/>
          <w:b/>
          <w:sz w:val="20"/>
          <w:szCs w:val="20"/>
        </w:rPr>
        <w:t>/</w:t>
      </w:r>
      <w:r w:rsidRPr="00D211E9">
        <w:rPr>
          <w:rFonts w:ascii="Titillium" w:hAnsi="Titillium"/>
          <w:b/>
          <w:sz w:val="20"/>
          <w:szCs w:val="20"/>
        </w:rPr>
        <w:t>20</w:t>
      </w:r>
      <w:r w:rsidR="00452936" w:rsidRPr="00D211E9">
        <w:rPr>
          <w:rFonts w:ascii="Titillium" w:hAnsi="Titillium"/>
          <w:b/>
          <w:sz w:val="20"/>
          <w:szCs w:val="20"/>
        </w:rPr>
        <w:t>21</w:t>
      </w:r>
    </w:p>
    <w:p w:rsidR="00D92758" w:rsidRPr="00452936" w:rsidRDefault="00D92758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</w:p>
    <w:p w:rsidR="00D92244" w:rsidRPr="00452936" w:rsidRDefault="00D92244" w:rsidP="00EA5E1D">
      <w:pPr>
        <w:spacing w:after="0"/>
        <w:jc w:val="both"/>
        <w:rPr>
          <w:rFonts w:ascii="Titillium" w:hAnsi="Titillium"/>
          <w:b/>
          <w:iCs/>
          <w:sz w:val="20"/>
          <w:szCs w:val="20"/>
        </w:rPr>
      </w:pPr>
    </w:p>
    <w:p w:rsidR="00ED2D6B" w:rsidRPr="00452936" w:rsidRDefault="00ED2D6B" w:rsidP="00452936">
      <w:pPr>
        <w:spacing w:after="0"/>
        <w:jc w:val="center"/>
        <w:rPr>
          <w:rFonts w:ascii="Titillium" w:hAnsi="Titillium"/>
          <w:b/>
          <w:iCs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Documento tecnico sui criteri</w:t>
      </w:r>
      <w:r w:rsidR="00CF5F4C" w:rsidRPr="00452936">
        <w:rPr>
          <w:rFonts w:ascii="Titillium" w:hAnsi="Titillium"/>
          <w:b/>
          <w:iCs/>
          <w:sz w:val="20"/>
          <w:szCs w:val="20"/>
        </w:rPr>
        <w:t xml:space="preserve"> di </w:t>
      </w:r>
      <w:r w:rsidR="004B7136" w:rsidRPr="00452936">
        <w:rPr>
          <w:rFonts w:ascii="Titillium" w:hAnsi="Titillium"/>
          <w:b/>
          <w:iCs/>
          <w:sz w:val="20"/>
          <w:szCs w:val="20"/>
        </w:rPr>
        <w:t>qualità della pubblicazione dei dati</w:t>
      </w:r>
    </w:p>
    <w:p w:rsidR="00A364DE" w:rsidRPr="00452936" w:rsidRDefault="00A364DE" w:rsidP="00614B4F">
      <w:pPr>
        <w:ind w:left="360"/>
        <w:rPr>
          <w:rFonts w:ascii="Titillium" w:hAnsi="Titillium"/>
          <w:iCs/>
          <w:sz w:val="20"/>
          <w:szCs w:val="20"/>
        </w:rPr>
      </w:pPr>
    </w:p>
    <w:p w:rsidR="006836F3" w:rsidRPr="00452936" w:rsidRDefault="006836F3" w:rsidP="00614B4F">
      <w:pPr>
        <w:ind w:left="360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t>Sommario</w:t>
      </w:r>
    </w:p>
    <w:p w:rsidR="00452936" w:rsidRDefault="00D95364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r w:rsidRPr="00452936">
        <w:rPr>
          <w:rFonts w:ascii="Titillium" w:hAnsi="Titillium"/>
          <w:iCs/>
          <w:sz w:val="20"/>
          <w:szCs w:val="20"/>
        </w:rPr>
        <w:fldChar w:fldCharType="begin"/>
      </w:r>
      <w:r w:rsidR="006836F3" w:rsidRPr="00452936">
        <w:rPr>
          <w:rFonts w:ascii="Titillium" w:hAnsi="Titillium"/>
          <w:iCs/>
          <w:sz w:val="20"/>
          <w:szCs w:val="20"/>
        </w:rPr>
        <w:instrText xml:space="preserve"> TOC \o "1-3" \h \z \u </w:instrText>
      </w:r>
      <w:r w:rsidRPr="00452936">
        <w:rPr>
          <w:rFonts w:ascii="Titillium" w:hAnsi="Titillium"/>
          <w:iCs/>
          <w:sz w:val="20"/>
          <w:szCs w:val="20"/>
        </w:rPr>
        <w:fldChar w:fldCharType="separate"/>
      </w:r>
      <w:hyperlink w:anchor="_Toc65656153" w:history="1">
        <w:r w:rsidR="00452936" w:rsidRPr="004A3348">
          <w:rPr>
            <w:rStyle w:val="Collegamentoipertestuale"/>
            <w:rFonts w:ascii="Titillium" w:hAnsi="Titillium"/>
            <w:noProof/>
          </w:rPr>
          <w:t>1.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Completezza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_Toc65656153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 w:rsidR="005118D5">
          <w:rPr>
            <w:noProof/>
            <w:webHidden/>
          </w:rPr>
          <w:t>2</w:t>
        </w:r>
        <w:r w:rsidR="00452936">
          <w:rPr>
            <w:noProof/>
            <w:webHidden/>
          </w:rPr>
          <w:fldChar w:fldCharType="end"/>
        </w:r>
      </w:hyperlink>
    </w:p>
    <w:p w:rsidR="00452936" w:rsidRDefault="00774C78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65656154" w:history="1">
        <w:r w:rsidR="00452936" w:rsidRPr="004A3348">
          <w:rPr>
            <w:rStyle w:val="Collegamentoipertestuale"/>
            <w:rFonts w:ascii="Titillium" w:hAnsi="Titillium"/>
            <w:noProof/>
          </w:rPr>
          <w:t>1.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Aggiornamento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_Toc65656154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 w:rsidR="005118D5">
          <w:rPr>
            <w:noProof/>
            <w:webHidden/>
          </w:rPr>
          <w:t>3</w:t>
        </w:r>
        <w:r w:rsidR="00452936">
          <w:rPr>
            <w:noProof/>
            <w:webHidden/>
          </w:rPr>
          <w:fldChar w:fldCharType="end"/>
        </w:r>
      </w:hyperlink>
    </w:p>
    <w:p w:rsidR="00452936" w:rsidRDefault="00774C78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65656155" w:history="1">
        <w:r w:rsidR="00452936" w:rsidRPr="004A3348">
          <w:rPr>
            <w:rStyle w:val="Collegamentoipertestuale"/>
            <w:rFonts w:ascii="Titillium" w:hAnsi="Titillium"/>
            <w:noProof/>
          </w:rPr>
          <w:t>2.</w:t>
        </w:r>
        <w:r w:rsidR="00452936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452936" w:rsidRPr="004A3348">
          <w:rPr>
            <w:rStyle w:val="Collegamentoipertestuale"/>
            <w:rFonts w:ascii="Titillium" w:hAnsi="Titillium"/>
            <w:noProof/>
          </w:rPr>
          <w:t>Formato e dati di tipo aperto</w:t>
        </w:r>
        <w:r w:rsidR="00452936">
          <w:rPr>
            <w:noProof/>
            <w:webHidden/>
          </w:rPr>
          <w:tab/>
        </w:r>
        <w:r w:rsidR="00452936">
          <w:rPr>
            <w:noProof/>
            <w:webHidden/>
          </w:rPr>
          <w:fldChar w:fldCharType="begin"/>
        </w:r>
        <w:r w:rsidR="00452936">
          <w:rPr>
            <w:noProof/>
            <w:webHidden/>
          </w:rPr>
          <w:instrText xml:space="preserve"> PAGEREF _Toc65656155 \h </w:instrText>
        </w:r>
        <w:r w:rsidR="00452936">
          <w:rPr>
            <w:noProof/>
            <w:webHidden/>
          </w:rPr>
        </w:r>
        <w:r w:rsidR="00452936">
          <w:rPr>
            <w:noProof/>
            <w:webHidden/>
          </w:rPr>
          <w:fldChar w:fldCharType="separate"/>
        </w:r>
        <w:r w:rsidR="005118D5">
          <w:rPr>
            <w:noProof/>
            <w:webHidden/>
          </w:rPr>
          <w:t>5</w:t>
        </w:r>
        <w:r w:rsidR="00452936">
          <w:rPr>
            <w:noProof/>
            <w:webHidden/>
          </w:rPr>
          <w:fldChar w:fldCharType="end"/>
        </w:r>
      </w:hyperlink>
    </w:p>
    <w:p w:rsidR="006836F3" w:rsidRPr="00452936" w:rsidRDefault="00D95364" w:rsidP="00614B4F">
      <w:pPr>
        <w:ind w:left="360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fldChar w:fldCharType="end"/>
      </w:r>
    </w:p>
    <w:p w:rsidR="006836F3" w:rsidRPr="00452936" w:rsidRDefault="006836F3">
      <w:pPr>
        <w:spacing w:after="0" w:line="240" w:lineRule="auto"/>
        <w:rPr>
          <w:rFonts w:ascii="Titillium" w:hAnsi="Titillium"/>
          <w:iCs/>
          <w:sz w:val="20"/>
          <w:szCs w:val="20"/>
        </w:rPr>
      </w:pPr>
      <w:r w:rsidRPr="00452936">
        <w:rPr>
          <w:rFonts w:ascii="Titillium" w:hAnsi="Titillium"/>
          <w:iCs/>
          <w:sz w:val="20"/>
          <w:szCs w:val="20"/>
        </w:rPr>
        <w:br w:type="page"/>
      </w:r>
    </w:p>
    <w:p w:rsidR="00452936" w:rsidRDefault="00452936" w:rsidP="00452936">
      <w:pPr>
        <w:pStyle w:val="Titolo1"/>
        <w:spacing w:before="200"/>
        <w:ind w:left="993"/>
        <w:jc w:val="both"/>
        <w:rPr>
          <w:rFonts w:ascii="Titillium" w:hAnsi="Titillium" w:cs="Times New Roman"/>
          <w:color w:val="auto"/>
          <w:sz w:val="20"/>
          <w:szCs w:val="20"/>
        </w:rPr>
      </w:pPr>
    </w:p>
    <w:p w:rsidR="00452936" w:rsidRDefault="00452936" w:rsidP="00452936">
      <w:pPr>
        <w:pStyle w:val="Titolo1"/>
        <w:spacing w:before="200"/>
        <w:ind w:left="993"/>
        <w:jc w:val="both"/>
        <w:rPr>
          <w:rFonts w:ascii="Titillium" w:hAnsi="Titillium" w:cs="Times New Roman"/>
          <w:color w:val="auto"/>
          <w:sz w:val="20"/>
          <w:szCs w:val="20"/>
        </w:rPr>
      </w:pPr>
    </w:p>
    <w:p w:rsidR="00316D15" w:rsidRPr="00452936" w:rsidRDefault="00316D15" w:rsidP="00452936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1" w:name="_Toc65656153"/>
      <w:r w:rsidRPr="00452936">
        <w:rPr>
          <w:rFonts w:ascii="Titillium" w:hAnsi="Titillium" w:cs="Times New Roman"/>
          <w:color w:val="auto"/>
          <w:sz w:val="20"/>
          <w:szCs w:val="20"/>
        </w:rPr>
        <w:t>Completezza</w:t>
      </w:r>
      <w:bookmarkEnd w:id="1"/>
    </w:p>
    <w:p w:rsidR="00C95BFB" w:rsidRPr="00452936" w:rsidRDefault="00D92758" w:rsidP="00EA5E1D">
      <w:p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L’Autorità</w:t>
      </w:r>
      <w:r w:rsidR="00C95BFB" w:rsidRPr="00452936">
        <w:rPr>
          <w:rFonts w:ascii="Titillium" w:hAnsi="Titillium"/>
          <w:sz w:val="20"/>
          <w:szCs w:val="20"/>
        </w:rPr>
        <w:t xml:space="preserve">, ai fini della propria attività di vigilanza e di controllo, ritiene che un dato sia da ritenersi pubblicato in modo completo se la </w:t>
      </w:r>
      <w:r w:rsidR="00316D15" w:rsidRPr="00452936">
        <w:rPr>
          <w:rFonts w:ascii="Titillium" w:hAnsi="Titillium"/>
          <w:sz w:val="20"/>
          <w:szCs w:val="20"/>
        </w:rPr>
        <w:t xml:space="preserve">pubblicazione è </w:t>
      </w:r>
      <w:r w:rsidR="00E812D1" w:rsidRPr="00452936">
        <w:rPr>
          <w:rFonts w:ascii="Titillium" w:hAnsi="Titillium"/>
          <w:sz w:val="20"/>
          <w:szCs w:val="20"/>
        </w:rPr>
        <w:t xml:space="preserve">esatta, </w:t>
      </w:r>
      <w:r w:rsidR="00316D15" w:rsidRPr="00452936">
        <w:rPr>
          <w:rFonts w:ascii="Titillium" w:hAnsi="Titillium"/>
          <w:sz w:val="20"/>
          <w:szCs w:val="20"/>
        </w:rPr>
        <w:t>accurata e riferita a tutti gli uffici</w:t>
      </w:r>
      <w:r w:rsidR="000E6D83" w:rsidRPr="00452936">
        <w:rPr>
          <w:rFonts w:ascii="Titillium" w:hAnsi="Titillium"/>
          <w:sz w:val="20"/>
          <w:szCs w:val="20"/>
        </w:rPr>
        <w:t>, ivi compresi</w:t>
      </w:r>
      <w:r w:rsidR="001551AE" w:rsidRPr="00452936">
        <w:rPr>
          <w:rFonts w:ascii="Titillium" w:hAnsi="Titillium"/>
          <w:sz w:val="20"/>
          <w:szCs w:val="20"/>
        </w:rPr>
        <w:t xml:space="preserve"> </w:t>
      </w:r>
      <w:r w:rsidR="009A1ED5" w:rsidRPr="00452936">
        <w:rPr>
          <w:rFonts w:ascii="Titillium" w:hAnsi="Titillium"/>
          <w:sz w:val="20"/>
          <w:szCs w:val="20"/>
        </w:rPr>
        <w:t xml:space="preserve">le </w:t>
      </w:r>
      <w:r w:rsidR="001551AE" w:rsidRPr="00452936">
        <w:rPr>
          <w:rFonts w:ascii="Titillium" w:hAnsi="Titillium"/>
          <w:sz w:val="20"/>
          <w:szCs w:val="20"/>
        </w:rPr>
        <w:t>eventuali</w:t>
      </w:r>
      <w:r w:rsidR="00D96A3C" w:rsidRPr="00452936">
        <w:rPr>
          <w:rFonts w:ascii="Titillium" w:hAnsi="Titillium"/>
          <w:sz w:val="20"/>
          <w:szCs w:val="20"/>
        </w:rPr>
        <w:t xml:space="preserve"> strutture interne (es. c</w:t>
      </w:r>
      <w:r w:rsidR="009A1ED5" w:rsidRPr="00452936">
        <w:rPr>
          <w:rFonts w:ascii="Titillium" w:hAnsi="Titillium"/>
          <w:sz w:val="20"/>
          <w:szCs w:val="20"/>
        </w:rPr>
        <w:t>orpi e</w:t>
      </w:r>
      <w:r w:rsidR="00D96A3C" w:rsidRPr="00452936">
        <w:rPr>
          <w:rFonts w:ascii="Titillium" w:hAnsi="Titillium"/>
          <w:sz w:val="20"/>
          <w:szCs w:val="20"/>
        </w:rPr>
        <w:t xml:space="preserve"> i</w:t>
      </w:r>
      <w:r w:rsidR="00C95BFB" w:rsidRPr="00452936">
        <w:rPr>
          <w:rFonts w:ascii="Titillium" w:hAnsi="Titillium"/>
          <w:sz w:val="20"/>
          <w:szCs w:val="20"/>
        </w:rPr>
        <w:t>stituti)</w:t>
      </w:r>
      <w:r w:rsidR="000E6D83" w:rsidRPr="00452936">
        <w:rPr>
          <w:rFonts w:ascii="Titillium" w:hAnsi="Titillium"/>
          <w:sz w:val="20"/>
          <w:szCs w:val="20"/>
        </w:rPr>
        <w:t xml:space="preserve"> e gli uffici periferici</w:t>
      </w:r>
      <w:r w:rsidR="00C95BFB" w:rsidRPr="00452936">
        <w:rPr>
          <w:rFonts w:ascii="Titillium" w:hAnsi="Titillium"/>
          <w:sz w:val="20"/>
          <w:szCs w:val="20"/>
        </w:rPr>
        <w:t>.</w:t>
      </w:r>
    </w:p>
    <w:p w:rsidR="00316D15" w:rsidRPr="00452936" w:rsidRDefault="000D4858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Fermo restando quanto previsto in materia di qualità delle informazioni dall’art. 6 del d.lgs. n. 33/2013, p</w:t>
      </w:r>
      <w:r w:rsidR="00316D15" w:rsidRPr="00452936">
        <w:rPr>
          <w:rFonts w:ascii="Titillium" w:hAnsi="Titillium"/>
          <w:sz w:val="20"/>
          <w:szCs w:val="20"/>
        </w:rPr>
        <w:t xml:space="preserve">er quanto </w:t>
      </w:r>
      <w:r w:rsidR="001551AE" w:rsidRPr="00452936">
        <w:rPr>
          <w:rFonts w:ascii="Titillium" w:hAnsi="Titillium"/>
          <w:sz w:val="20"/>
          <w:szCs w:val="20"/>
        </w:rPr>
        <w:t xml:space="preserve">riguarda </w:t>
      </w:r>
      <w:r w:rsidR="00E812D1" w:rsidRPr="00452936">
        <w:rPr>
          <w:rFonts w:ascii="Titillium" w:hAnsi="Titillium"/>
          <w:sz w:val="20"/>
          <w:szCs w:val="20"/>
        </w:rPr>
        <w:t>l’esattezza essa fa riferimento alla capacità del dato di rappresentare correttament</w:t>
      </w:r>
      <w:r w:rsidR="001551AE" w:rsidRPr="00452936">
        <w:rPr>
          <w:rFonts w:ascii="Titillium" w:hAnsi="Titillium"/>
          <w:sz w:val="20"/>
          <w:szCs w:val="20"/>
        </w:rPr>
        <w:t>e il</w:t>
      </w:r>
      <w:r w:rsidR="00E812D1" w:rsidRPr="00452936">
        <w:rPr>
          <w:rFonts w:ascii="Titillium" w:hAnsi="Titillium"/>
          <w:sz w:val="20"/>
          <w:szCs w:val="20"/>
        </w:rPr>
        <w:t xml:space="preserve"> fenomeno che intende descrivere. L’accuratezza, invece, concerne la capacità del dato di riportare tu</w:t>
      </w:r>
      <w:r w:rsidR="001551AE" w:rsidRPr="00452936">
        <w:rPr>
          <w:rFonts w:ascii="Titillium" w:hAnsi="Titillium"/>
          <w:sz w:val="20"/>
          <w:szCs w:val="20"/>
        </w:rPr>
        <w:t>tte le informazioni richieste da</w:t>
      </w:r>
      <w:r w:rsidR="00E812D1" w:rsidRPr="00452936">
        <w:rPr>
          <w:rFonts w:ascii="Titillium" w:hAnsi="Titillium"/>
          <w:sz w:val="20"/>
          <w:szCs w:val="20"/>
        </w:rPr>
        <w:t xml:space="preserve">lle previsioni normative. </w:t>
      </w:r>
    </w:p>
    <w:p w:rsidR="00316D15" w:rsidRPr="00452936" w:rsidRDefault="00623F84" w:rsidP="00316D15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Nei siti </w:t>
      </w:r>
      <w:r w:rsidR="00316D15" w:rsidRPr="00452936">
        <w:rPr>
          <w:rFonts w:ascii="Titillium" w:hAnsi="Titillium"/>
          <w:i/>
          <w:sz w:val="20"/>
          <w:szCs w:val="20"/>
        </w:rPr>
        <w:t>di alcune am</w:t>
      </w:r>
      <w:r w:rsidR="003E77E8" w:rsidRPr="00452936">
        <w:rPr>
          <w:rFonts w:ascii="Titillium" w:hAnsi="Titillium"/>
          <w:i/>
          <w:sz w:val="20"/>
          <w:szCs w:val="20"/>
        </w:rPr>
        <w:t xml:space="preserve">ministrazioni il dato relativo agli </w:t>
      </w:r>
      <w:r w:rsidR="00316D15" w:rsidRPr="00452936">
        <w:rPr>
          <w:rFonts w:ascii="Titillium" w:hAnsi="Titillium"/>
          <w:i/>
          <w:sz w:val="20"/>
          <w:szCs w:val="20"/>
        </w:rPr>
        <w:t>incarichi</w:t>
      </w:r>
      <w:r w:rsidR="00A86BD4" w:rsidRPr="00452936">
        <w:rPr>
          <w:rFonts w:ascii="Titillium" w:hAnsi="Titillium"/>
          <w:i/>
          <w:sz w:val="20"/>
          <w:szCs w:val="20"/>
        </w:rPr>
        <w:t xml:space="preserve"> </w:t>
      </w:r>
      <w:r w:rsidR="003E77E8" w:rsidRPr="00452936">
        <w:rPr>
          <w:rFonts w:ascii="Titillium" w:hAnsi="Titillium"/>
          <w:i/>
          <w:sz w:val="20"/>
          <w:szCs w:val="20"/>
        </w:rPr>
        <w:t>conferiti</w:t>
      </w:r>
      <w:r w:rsidR="00316D15" w:rsidRPr="00452936">
        <w:rPr>
          <w:rFonts w:ascii="Titillium" w:hAnsi="Titillium"/>
          <w:i/>
          <w:sz w:val="20"/>
          <w:szCs w:val="20"/>
        </w:rPr>
        <w:t xml:space="preserve"> a dipendenti ed est</w:t>
      </w:r>
      <w:r w:rsidR="001551AE" w:rsidRPr="00452936">
        <w:rPr>
          <w:rFonts w:ascii="Titillium" w:hAnsi="Titillium"/>
          <w:i/>
          <w:sz w:val="20"/>
          <w:szCs w:val="20"/>
        </w:rPr>
        <w:t>ranei alla pubblica amministrazione</w:t>
      </w:r>
      <w:r w:rsidR="00316D15" w:rsidRPr="00452936">
        <w:rPr>
          <w:rFonts w:ascii="Titillium" w:hAnsi="Titillium"/>
          <w:i/>
          <w:sz w:val="20"/>
          <w:szCs w:val="20"/>
        </w:rPr>
        <w:t xml:space="preserve"> difetta di accuratezza </w:t>
      </w:r>
      <w:r w:rsidR="006023E7" w:rsidRPr="00452936">
        <w:rPr>
          <w:rFonts w:ascii="Titillium" w:hAnsi="Titillium"/>
          <w:i/>
          <w:sz w:val="20"/>
          <w:szCs w:val="20"/>
        </w:rPr>
        <w:t xml:space="preserve">quando </w:t>
      </w:r>
      <w:r w:rsidR="00316D15" w:rsidRPr="00452936">
        <w:rPr>
          <w:rFonts w:ascii="Titillium" w:hAnsi="Titillium"/>
          <w:i/>
          <w:sz w:val="20"/>
          <w:szCs w:val="20"/>
        </w:rPr>
        <w:t>non sono riportate tutte le informazioni richieste dalle previsioni normative. Ad esempio, in alcuni casi manca</w:t>
      </w:r>
      <w:r w:rsidR="00860C31" w:rsidRPr="00452936">
        <w:rPr>
          <w:rFonts w:ascii="Titillium" w:hAnsi="Titillium"/>
          <w:i/>
          <w:sz w:val="20"/>
          <w:szCs w:val="20"/>
        </w:rPr>
        <w:t>no gli estremi dell’atto di conferimento dell’incarico</w:t>
      </w:r>
      <w:r w:rsidR="00316D15" w:rsidRPr="00452936">
        <w:rPr>
          <w:rFonts w:ascii="Titillium" w:hAnsi="Titillium"/>
          <w:i/>
          <w:sz w:val="20"/>
          <w:szCs w:val="20"/>
        </w:rPr>
        <w:t xml:space="preserve">, in altri </w:t>
      </w:r>
      <w:r w:rsidR="00860C31" w:rsidRPr="00452936">
        <w:rPr>
          <w:rFonts w:ascii="Titillium" w:hAnsi="Titillium"/>
          <w:i/>
          <w:sz w:val="20"/>
          <w:szCs w:val="20"/>
        </w:rPr>
        <w:t>la durata o il compenso relativo all’</w:t>
      </w:r>
      <w:r w:rsidR="00316D15" w:rsidRPr="00452936">
        <w:rPr>
          <w:rFonts w:ascii="Titillium" w:hAnsi="Titillium"/>
          <w:i/>
          <w:sz w:val="20"/>
          <w:szCs w:val="20"/>
        </w:rPr>
        <w:t xml:space="preserve">incarico, in altri ancora i </w:t>
      </w:r>
      <w:r w:rsidR="00316D15" w:rsidRPr="00452936">
        <w:rPr>
          <w:rFonts w:ascii="Titillium" w:hAnsi="Titillium"/>
          <w:sz w:val="20"/>
          <w:szCs w:val="20"/>
        </w:rPr>
        <w:t>curricula</w:t>
      </w:r>
      <w:r w:rsidR="00316D15" w:rsidRPr="00452936">
        <w:rPr>
          <w:rFonts w:ascii="Titillium" w:hAnsi="Titillium"/>
          <w:i/>
          <w:sz w:val="20"/>
          <w:szCs w:val="20"/>
        </w:rPr>
        <w:t xml:space="preserve"> di coloro che hanno ricevuto incarichi</w:t>
      </w:r>
      <w:r w:rsidR="00A364DE" w:rsidRPr="00452936">
        <w:rPr>
          <w:rFonts w:ascii="Titillium" w:hAnsi="Titillium"/>
          <w:i/>
          <w:sz w:val="20"/>
          <w:szCs w:val="20"/>
        </w:rPr>
        <w:t xml:space="preserve">. </w:t>
      </w:r>
      <w:r w:rsidR="00316D15" w:rsidRPr="00452936">
        <w:rPr>
          <w:rFonts w:ascii="Titillium" w:hAnsi="Titillium"/>
          <w:i/>
          <w:sz w:val="20"/>
          <w:szCs w:val="20"/>
        </w:rPr>
        <w:t>In questi casi l’assolvimento degli obblighi di pubblicazione non può dirsi accurato.</w:t>
      </w:r>
    </w:p>
    <w:p w:rsidR="00316D15" w:rsidRPr="00452936" w:rsidRDefault="00316D15" w:rsidP="00316D15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La scarsa accuratezza</w:t>
      </w:r>
      <w:r w:rsidR="00C95BFB" w:rsidRPr="00452936">
        <w:rPr>
          <w:rFonts w:ascii="Titillium" w:hAnsi="Titillium"/>
          <w:i/>
          <w:sz w:val="20"/>
          <w:szCs w:val="20"/>
        </w:rPr>
        <w:t xml:space="preserve"> si riscontra, spesso, </w:t>
      </w:r>
      <w:r w:rsidRPr="00452936">
        <w:rPr>
          <w:rFonts w:ascii="Titillium" w:hAnsi="Titillium"/>
          <w:i/>
          <w:sz w:val="20"/>
          <w:szCs w:val="20"/>
        </w:rPr>
        <w:t xml:space="preserve">anche </w:t>
      </w:r>
      <w:r w:rsidR="00C95BFB" w:rsidRPr="00452936">
        <w:rPr>
          <w:rFonts w:ascii="Titillium" w:hAnsi="Titillium"/>
          <w:i/>
          <w:sz w:val="20"/>
          <w:szCs w:val="20"/>
        </w:rPr>
        <w:t>nel</w:t>
      </w:r>
      <w:r w:rsidRPr="00452936">
        <w:rPr>
          <w:rFonts w:ascii="Titillium" w:hAnsi="Titillium"/>
          <w:i/>
          <w:sz w:val="20"/>
          <w:szCs w:val="20"/>
        </w:rPr>
        <w:t>la pubblicazione de</w:t>
      </w:r>
      <w:r w:rsidR="00C95BFB" w:rsidRPr="00452936">
        <w:rPr>
          <w:rFonts w:ascii="Titillium" w:hAnsi="Titillium"/>
          <w:i/>
          <w:sz w:val="20"/>
          <w:szCs w:val="20"/>
        </w:rPr>
        <w:t xml:space="preserve">i </w:t>
      </w:r>
      <w:r w:rsidR="00AC74EE" w:rsidRPr="00452936">
        <w:rPr>
          <w:rFonts w:ascii="Titillium" w:hAnsi="Titillium"/>
          <w:i/>
          <w:sz w:val="20"/>
          <w:szCs w:val="20"/>
        </w:rPr>
        <w:t>d</w:t>
      </w:r>
      <w:r w:rsidR="00C95BFB" w:rsidRPr="00452936">
        <w:rPr>
          <w:rFonts w:ascii="Titillium" w:hAnsi="Titillium"/>
          <w:i/>
          <w:sz w:val="20"/>
          <w:szCs w:val="20"/>
        </w:rPr>
        <w:t xml:space="preserve">ati relativi alle </w:t>
      </w:r>
      <w:r w:rsidRPr="00452936">
        <w:rPr>
          <w:rFonts w:ascii="Titillium" w:hAnsi="Titillium"/>
          <w:i/>
          <w:sz w:val="20"/>
          <w:szCs w:val="20"/>
        </w:rPr>
        <w:t>tipologie di procedimen</w:t>
      </w:r>
      <w:r w:rsidR="00C95BFB" w:rsidRPr="00452936">
        <w:rPr>
          <w:rFonts w:ascii="Titillium" w:hAnsi="Titillium"/>
          <w:i/>
          <w:sz w:val="20"/>
          <w:szCs w:val="20"/>
        </w:rPr>
        <w:t>ti</w:t>
      </w:r>
      <w:r w:rsidRPr="00452936">
        <w:rPr>
          <w:rFonts w:ascii="Titillium" w:hAnsi="Titillium"/>
          <w:i/>
          <w:sz w:val="20"/>
          <w:szCs w:val="20"/>
        </w:rPr>
        <w:t>. In quest</w:t>
      </w:r>
      <w:r w:rsidR="00C95BFB" w:rsidRPr="00452936">
        <w:rPr>
          <w:rFonts w:ascii="Titillium" w:hAnsi="Titillium"/>
          <w:i/>
          <w:sz w:val="20"/>
          <w:szCs w:val="20"/>
        </w:rPr>
        <w:t>i</w:t>
      </w:r>
      <w:r w:rsidRPr="00452936">
        <w:rPr>
          <w:rFonts w:ascii="Titillium" w:hAnsi="Titillium"/>
          <w:i/>
          <w:sz w:val="20"/>
          <w:szCs w:val="20"/>
        </w:rPr>
        <w:t xml:space="preserve"> cas</w:t>
      </w:r>
      <w:r w:rsidR="00C95BFB" w:rsidRPr="00452936">
        <w:rPr>
          <w:rFonts w:ascii="Titillium" w:hAnsi="Titillium"/>
          <w:i/>
          <w:sz w:val="20"/>
          <w:szCs w:val="20"/>
        </w:rPr>
        <w:t>i</w:t>
      </w:r>
      <w:r w:rsidRPr="00452936">
        <w:rPr>
          <w:rFonts w:ascii="Titillium" w:hAnsi="Titillium"/>
          <w:i/>
          <w:sz w:val="20"/>
          <w:szCs w:val="20"/>
        </w:rPr>
        <w:t xml:space="preserve"> la </w:t>
      </w:r>
      <w:r w:rsidR="00C95BFB" w:rsidRPr="00452936">
        <w:rPr>
          <w:rFonts w:ascii="Titillium" w:hAnsi="Titillium"/>
          <w:i/>
          <w:sz w:val="20"/>
          <w:szCs w:val="20"/>
        </w:rPr>
        <w:t xml:space="preserve">limitata </w:t>
      </w:r>
      <w:r w:rsidRPr="00452936">
        <w:rPr>
          <w:rFonts w:ascii="Titillium" w:hAnsi="Titillium"/>
          <w:i/>
          <w:sz w:val="20"/>
          <w:szCs w:val="20"/>
        </w:rPr>
        <w:t>accuratezza è</w:t>
      </w:r>
      <w:r w:rsidR="00C95BFB" w:rsidRPr="00452936">
        <w:rPr>
          <w:rFonts w:ascii="Titillium" w:hAnsi="Titillium"/>
          <w:i/>
          <w:sz w:val="20"/>
          <w:szCs w:val="20"/>
        </w:rPr>
        <w:t xml:space="preserve">, di frequente, </w:t>
      </w:r>
      <w:r w:rsidRPr="00452936">
        <w:rPr>
          <w:rFonts w:ascii="Titillium" w:hAnsi="Titillium"/>
          <w:i/>
          <w:sz w:val="20"/>
          <w:szCs w:val="20"/>
        </w:rPr>
        <w:t xml:space="preserve">relativa non solo alla mancata pubblicazione </w:t>
      </w:r>
      <w:r w:rsidR="00C95BFB" w:rsidRPr="00452936">
        <w:rPr>
          <w:rFonts w:ascii="Titillium" w:hAnsi="Titillium"/>
          <w:i/>
          <w:sz w:val="20"/>
          <w:szCs w:val="20"/>
        </w:rPr>
        <w:t xml:space="preserve">di informazioni richieste dalle norme </w:t>
      </w:r>
      <w:r w:rsidRPr="00452936">
        <w:rPr>
          <w:rFonts w:ascii="Titillium" w:hAnsi="Titillium"/>
          <w:i/>
          <w:sz w:val="20"/>
          <w:szCs w:val="20"/>
        </w:rPr>
        <w:t>(</w:t>
      </w:r>
      <w:r w:rsidR="00C95BFB" w:rsidRPr="00452936">
        <w:rPr>
          <w:rFonts w:ascii="Titillium" w:hAnsi="Titillium"/>
          <w:i/>
          <w:sz w:val="20"/>
          <w:szCs w:val="20"/>
        </w:rPr>
        <w:t xml:space="preserve">ad es. </w:t>
      </w:r>
      <w:r w:rsidRPr="00452936">
        <w:rPr>
          <w:rFonts w:ascii="Titillium" w:hAnsi="Titillium"/>
          <w:i/>
          <w:sz w:val="20"/>
          <w:szCs w:val="20"/>
        </w:rPr>
        <w:t>termine</w:t>
      </w:r>
      <w:r w:rsidR="00C95BFB" w:rsidRPr="00452936">
        <w:rPr>
          <w:rFonts w:ascii="Titillium" w:hAnsi="Titillium"/>
          <w:i/>
          <w:sz w:val="20"/>
          <w:szCs w:val="20"/>
        </w:rPr>
        <w:t xml:space="preserve"> di conclusione</w:t>
      </w:r>
      <w:r w:rsidRPr="00452936">
        <w:rPr>
          <w:rFonts w:ascii="Titillium" w:hAnsi="Titillium"/>
          <w:i/>
          <w:sz w:val="20"/>
          <w:szCs w:val="20"/>
        </w:rPr>
        <w:t xml:space="preserve">, </w:t>
      </w:r>
      <w:r w:rsidR="00C95BFB" w:rsidRPr="00452936">
        <w:rPr>
          <w:rFonts w:ascii="Titillium" w:hAnsi="Titillium"/>
          <w:i/>
          <w:sz w:val="20"/>
          <w:szCs w:val="20"/>
        </w:rPr>
        <w:t xml:space="preserve">unità organizzativa e </w:t>
      </w:r>
      <w:r w:rsidRPr="00452936">
        <w:rPr>
          <w:rFonts w:ascii="Titillium" w:hAnsi="Titillium"/>
          <w:i/>
          <w:sz w:val="20"/>
          <w:szCs w:val="20"/>
        </w:rPr>
        <w:t>nome del responsabile</w:t>
      </w:r>
      <w:r w:rsidR="00C95BFB" w:rsidRPr="00452936">
        <w:rPr>
          <w:rFonts w:ascii="Titillium" w:hAnsi="Titillium"/>
          <w:i/>
          <w:sz w:val="20"/>
          <w:szCs w:val="20"/>
        </w:rPr>
        <w:t xml:space="preserve"> del procedimento</w:t>
      </w:r>
      <w:r w:rsidRPr="00452936">
        <w:rPr>
          <w:rFonts w:ascii="Titillium" w:hAnsi="Titillium"/>
          <w:i/>
          <w:sz w:val="20"/>
          <w:szCs w:val="20"/>
        </w:rPr>
        <w:t>) ma anche alla pubblicazione di un numero di procedimenti inferiore rispetto a quelli effettivamente esistenti.</w:t>
      </w:r>
    </w:p>
    <w:p w:rsidR="003D105A" w:rsidRPr="00452936" w:rsidRDefault="00AC74EE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Inoltre, ad avviso dell</w:t>
      </w:r>
      <w:r w:rsidR="00D92758" w:rsidRPr="00452936">
        <w:rPr>
          <w:rFonts w:ascii="Titillium" w:hAnsi="Titillium"/>
          <w:sz w:val="20"/>
          <w:szCs w:val="20"/>
        </w:rPr>
        <w:t>’Autorità</w:t>
      </w:r>
      <w:r w:rsidRPr="00452936">
        <w:rPr>
          <w:rFonts w:ascii="Titillium" w:hAnsi="Titillium"/>
          <w:sz w:val="20"/>
          <w:szCs w:val="20"/>
        </w:rPr>
        <w:t xml:space="preserve"> i dati possono dirsi pubblicati in modo completo se la loro </w:t>
      </w:r>
      <w:r w:rsidR="00316D15" w:rsidRPr="00452936">
        <w:rPr>
          <w:rFonts w:ascii="Titillium" w:hAnsi="Titillium"/>
          <w:sz w:val="20"/>
          <w:szCs w:val="20"/>
        </w:rPr>
        <w:t xml:space="preserve">pubblicazione </w:t>
      </w:r>
      <w:r w:rsidR="00E812D1" w:rsidRPr="00452936">
        <w:rPr>
          <w:rFonts w:ascii="Titillium" w:hAnsi="Titillium"/>
          <w:sz w:val="20"/>
          <w:szCs w:val="20"/>
        </w:rPr>
        <w:t xml:space="preserve">esatta e </w:t>
      </w:r>
      <w:r w:rsidRPr="00452936">
        <w:rPr>
          <w:rFonts w:ascii="Titillium" w:hAnsi="Titillium"/>
          <w:sz w:val="20"/>
          <w:szCs w:val="20"/>
        </w:rPr>
        <w:t xml:space="preserve">accurata si riferisce </w:t>
      </w:r>
      <w:r w:rsidR="00316D15" w:rsidRPr="00452936">
        <w:rPr>
          <w:rFonts w:ascii="Titillium" w:hAnsi="Titillium"/>
          <w:sz w:val="20"/>
          <w:szCs w:val="20"/>
        </w:rPr>
        <w:t>non solo all</w:t>
      </w:r>
      <w:r w:rsidRPr="00452936">
        <w:rPr>
          <w:rFonts w:ascii="Titillium" w:hAnsi="Titillium"/>
          <w:sz w:val="20"/>
          <w:szCs w:val="20"/>
        </w:rPr>
        <w:t>’amminist</w:t>
      </w:r>
      <w:r w:rsidR="006023E7" w:rsidRPr="00452936">
        <w:rPr>
          <w:rFonts w:ascii="Titillium" w:hAnsi="Titillium"/>
          <w:sz w:val="20"/>
          <w:szCs w:val="20"/>
        </w:rPr>
        <w:t>r</w:t>
      </w:r>
      <w:r w:rsidRPr="00452936">
        <w:rPr>
          <w:rFonts w:ascii="Titillium" w:hAnsi="Titillium"/>
          <w:sz w:val="20"/>
          <w:szCs w:val="20"/>
        </w:rPr>
        <w:t xml:space="preserve">azione centrale </w:t>
      </w:r>
      <w:r w:rsidR="00316D15" w:rsidRPr="00452936">
        <w:rPr>
          <w:rFonts w:ascii="Titillium" w:hAnsi="Titillium"/>
          <w:sz w:val="20"/>
          <w:szCs w:val="20"/>
        </w:rPr>
        <w:t xml:space="preserve">ma anche </w:t>
      </w:r>
      <w:r w:rsidR="001551AE" w:rsidRPr="00452936">
        <w:rPr>
          <w:rFonts w:ascii="Titillium" w:hAnsi="Titillium"/>
          <w:sz w:val="20"/>
          <w:szCs w:val="20"/>
        </w:rPr>
        <w:t>a eventuali</w:t>
      </w:r>
      <w:r w:rsidRPr="00452936">
        <w:rPr>
          <w:rFonts w:ascii="Titillium" w:hAnsi="Titillium"/>
          <w:sz w:val="20"/>
          <w:szCs w:val="20"/>
        </w:rPr>
        <w:t xml:space="preserve"> strutture interne e </w:t>
      </w:r>
      <w:r w:rsidR="000E6D83" w:rsidRPr="00452936">
        <w:rPr>
          <w:rFonts w:ascii="Titillium" w:hAnsi="Titillium"/>
          <w:sz w:val="20"/>
          <w:szCs w:val="20"/>
        </w:rPr>
        <w:t>agli uffici periferici</w:t>
      </w:r>
      <w:r w:rsidR="002444ED" w:rsidRPr="00452936">
        <w:rPr>
          <w:rFonts w:ascii="Titillium" w:hAnsi="Titillium"/>
          <w:sz w:val="20"/>
          <w:szCs w:val="20"/>
        </w:rPr>
        <w:t>, ove esistenti.</w:t>
      </w:r>
    </w:p>
    <w:p w:rsidR="00882755" w:rsidRPr="00452936" w:rsidRDefault="000E6D83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quanto riguarda gli uffici periferici</w:t>
      </w:r>
      <w:r w:rsidR="00AC74EE" w:rsidRPr="00452936">
        <w:rPr>
          <w:rFonts w:ascii="Titillium" w:hAnsi="Titillium"/>
          <w:sz w:val="20"/>
          <w:szCs w:val="20"/>
        </w:rPr>
        <w:t xml:space="preserve">, se </w:t>
      </w:r>
      <w:r w:rsidRPr="00452936">
        <w:rPr>
          <w:rFonts w:ascii="Titillium" w:hAnsi="Titillium"/>
          <w:sz w:val="20"/>
          <w:szCs w:val="20"/>
        </w:rPr>
        <w:t xml:space="preserve">i loro siti istituzionali </w:t>
      </w:r>
      <w:r w:rsidR="00AC74EE" w:rsidRPr="00452936">
        <w:rPr>
          <w:rFonts w:ascii="Titillium" w:hAnsi="Titillium"/>
          <w:sz w:val="20"/>
          <w:szCs w:val="20"/>
        </w:rPr>
        <w:t xml:space="preserve">sono </w:t>
      </w:r>
      <w:r w:rsidRPr="00452936">
        <w:rPr>
          <w:rFonts w:ascii="Titillium" w:hAnsi="Titillium"/>
          <w:sz w:val="20"/>
          <w:szCs w:val="20"/>
        </w:rPr>
        <w:t>dotati</w:t>
      </w:r>
      <w:r w:rsidR="00882755" w:rsidRPr="00452936">
        <w:rPr>
          <w:rFonts w:ascii="Titillium" w:hAnsi="Titillium"/>
          <w:sz w:val="20"/>
          <w:szCs w:val="20"/>
        </w:rPr>
        <w:t xml:space="preserve"> di proprie sezioni “Amministrazione Trasparente”, l</w:t>
      </w:r>
      <w:r w:rsidR="00316D15" w:rsidRPr="00452936">
        <w:rPr>
          <w:rFonts w:ascii="Titillium" w:hAnsi="Titillium"/>
          <w:sz w:val="20"/>
          <w:szCs w:val="20"/>
        </w:rPr>
        <w:t xml:space="preserve">a pubblicazione coordinata dei dati tra centro e </w:t>
      </w:r>
      <w:r w:rsidR="0019190F" w:rsidRPr="00452936">
        <w:rPr>
          <w:rFonts w:ascii="Titillium" w:hAnsi="Titillium"/>
          <w:sz w:val="20"/>
          <w:szCs w:val="20"/>
        </w:rPr>
        <w:t xml:space="preserve">periferia potrà essere assicurata seguendo </w:t>
      </w:r>
      <w:r w:rsidR="00882755" w:rsidRPr="00452936">
        <w:rPr>
          <w:rFonts w:ascii="Titillium" w:hAnsi="Titillium"/>
          <w:sz w:val="20"/>
          <w:szCs w:val="20"/>
        </w:rPr>
        <w:t>due modalità alternative:</w:t>
      </w:r>
    </w:p>
    <w:p w:rsidR="00794FF7" w:rsidRPr="00452936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r</w:t>
      </w:r>
      <w:r w:rsidR="00882755" w:rsidRPr="00452936">
        <w:rPr>
          <w:rFonts w:ascii="Titillium" w:hAnsi="Titillium"/>
          <w:sz w:val="20"/>
          <w:szCs w:val="20"/>
        </w:rPr>
        <w:t>icorso</w:t>
      </w:r>
      <w:r w:rsidR="0075401B" w:rsidRPr="00452936">
        <w:rPr>
          <w:rFonts w:ascii="Titillium" w:hAnsi="Titillium"/>
          <w:sz w:val="20"/>
          <w:szCs w:val="20"/>
        </w:rPr>
        <w:t xml:space="preserve"> a </w:t>
      </w:r>
      <w:r w:rsidR="0075401B" w:rsidRPr="00452936">
        <w:rPr>
          <w:rFonts w:ascii="Titillium" w:hAnsi="Titillium"/>
          <w:i/>
          <w:sz w:val="20"/>
          <w:szCs w:val="20"/>
        </w:rPr>
        <w:t>link</w:t>
      </w:r>
      <w:r w:rsidR="0075401B" w:rsidRPr="00452936">
        <w:rPr>
          <w:rFonts w:ascii="Titillium" w:hAnsi="Titillium"/>
          <w:sz w:val="20"/>
          <w:szCs w:val="20"/>
        </w:rPr>
        <w:t xml:space="preserve"> che dalla sezione “</w:t>
      </w:r>
      <w:r w:rsidR="0075401B" w:rsidRPr="00452936">
        <w:rPr>
          <w:rFonts w:ascii="Titillium" w:hAnsi="Titillium"/>
          <w:i/>
          <w:sz w:val="20"/>
          <w:szCs w:val="20"/>
        </w:rPr>
        <w:t>Amministrazione Trasparente</w:t>
      </w:r>
      <w:r w:rsidR="0075401B" w:rsidRPr="00452936">
        <w:rPr>
          <w:rFonts w:ascii="Titillium" w:hAnsi="Titillium"/>
          <w:sz w:val="20"/>
          <w:szCs w:val="20"/>
        </w:rPr>
        <w:t>” dell’amministrazione centrale conducano alle sezioni “</w:t>
      </w:r>
      <w:r w:rsidR="0075401B" w:rsidRPr="00452936">
        <w:rPr>
          <w:rFonts w:ascii="Titillium" w:hAnsi="Titillium"/>
          <w:i/>
          <w:sz w:val="20"/>
          <w:szCs w:val="20"/>
        </w:rPr>
        <w:t>Amm</w:t>
      </w:r>
      <w:r w:rsidR="0019190F" w:rsidRPr="00452936">
        <w:rPr>
          <w:rFonts w:ascii="Titillium" w:hAnsi="Titillium"/>
          <w:i/>
          <w:sz w:val="20"/>
          <w:szCs w:val="20"/>
        </w:rPr>
        <w:t>inistrazione Trasparente</w:t>
      </w:r>
      <w:r w:rsidR="0019190F" w:rsidRPr="00452936">
        <w:rPr>
          <w:rFonts w:ascii="Titillium" w:hAnsi="Titillium"/>
          <w:sz w:val="20"/>
          <w:szCs w:val="20"/>
        </w:rPr>
        <w:t>” degli uffici periferici</w:t>
      </w:r>
      <w:r w:rsidRPr="00452936">
        <w:rPr>
          <w:rFonts w:ascii="Titillium" w:hAnsi="Titillium"/>
          <w:sz w:val="20"/>
          <w:szCs w:val="20"/>
        </w:rPr>
        <w:t>;</w:t>
      </w:r>
    </w:p>
    <w:p w:rsidR="00720B79" w:rsidRPr="00452936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</w:t>
      </w:r>
      <w:r w:rsidR="00794FF7" w:rsidRPr="00452936">
        <w:rPr>
          <w:rFonts w:ascii="Titillium" w:hAnsi="Titillium"/>
          <w:sz w:val="20"/>
          <w:szCs w:val="20"/>
        </w:rPr>
        <w:t xml:space="preserve">ubblicazione centralizzata dei </w:t>
      </w:r>
      <w:r w:rsidR="009A1ED5" w:rsidRPr="00452936">
        <w:rPr>
          <w:rFonts w:ascii="Titillium" w:hAnsi="Titillium"/>
          <w:sz w:val="20"/>
          <w:szCs w:val="20"/>
        </w:rPr>
        <w:t xml:space="preserve">dati con riferimento esplicito </w:t>
      </w:r>
      <w:r w:rsidR="00794FF7" w:rsidRPr="00452936">
        <w:rPr>
          <w:rFonts w:ascii="Titillium" w:hAnsi="Titillium"/>
          <w:sz w:val="20"/>
          <w:szCs w:val="20"/>
        </w:rPr>
        <w:t>alle informazioni che riguard</w:t>
      </w:r>
      <w:r w:rsidR="0019190F" w:rsidRPr="00452936">
        <w:rPr>
          <w:rFonts w:ascii="Titillium" w:hAnsi="Titillium"/>
          <w:sz w:val="20"/>
          <w:szCs w:val="20"/>
        </w:rPr>
        <w:t>ano gli uffici periferici</w:t>
      </w:r>
      <w:r w:rsidR="00794FF7" w:rsidRPr="00452936">
        <w:rPr>
          <w:rFonts w:ascii="Titillium" w:hAnsi="Titillium"/>
          <w:sz w:val="20"/>
          <w:szCs w:val="20"/>
        </w:rPr>
        <w:t>. In tal caso, nei siti</w:t>
      </w:r>
      <w:r w:rsidR="0019190F" w:rsidRPr="00452936">
        <w:rPr>
          <w:rFonts w:ascii="Titillium" w:hAnsi="Titillium"/>
          <w:sz w:val="20"/>
          <w:szCs w:val="20"/>
        </w:rPr>
        <w:t xml:space="preserve"> degli uffici periferici</w:t>
      </w:r>
      <w:r w:rsidR="00794FF7" w:rsidRPr="00452936">
        <w:rPr>
          <w:rFonts w:ascii="Titillium" w:hAnsi="Titillium"/>
          <w:sz w:val="20"/>
          <w:szCs w:val="20"/>
        </w:rPr>
        <w:t xml:space="preserve"> dovrà essere presente il </w:t>
      </w:r>
      <w:r w:rsidR="00794FF7" w:rsidRPr="00452936">
        <w:rPr>
          <w:rFonts w:ascii="Titillium" w:hAnsi="Titillium"/>
          <w:i/>
          <w:sz w:val="20"/>
          <w:szCs w:val="20"/>
        </w:rPr>
        <w:t>link</w:t>
      </w:r>
      <w:r w:rsidR="00794FF7" w:rsidRPr="00452936">
        <w:rPr>
          <w:rFonts w:ascii="Titillium" w:hAnsi="Titillium"/>
          <w:sz w:val="20"/>
          <w:szCs w:val="20"/>
        </w:rPr>
        <w:t xml:space="preserve"> ai dati presenti nel sito dell’amministrazione centrale. </w:t>
      </w:r>
    </w:p>
    <w:p w:rsidR="00316D15" w:rsidRPr="00452936" w:rsidRDefault="00316D1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N</w:t>
      </w:r>
      <w:r w:rsidR="0019190F" w:rsidRPr="00452936">
        <w:rPr>
          <w:rFonts w:ascii="Titillium" w:hAnsi="Titillium"/>
          <w:sz w:val="20"/>
          <w:szCs w:val="20"/>
        </w:rPr>
        <w:t>el caso in cui gli uffici periferici</w:t>
      </w:r>
      <w:r w:rsidR="0065507A" w:rsidRPr="00452936">
        <w:rPr>
          <w:rFonts w:ascii="Titillium" w:hAnsi="Titillium"/>
          <w:sz w:val="20"/>
          <w:szCs w:val="20"/>
        </w:rPr>
        <w:t xml:space="preserve"> </w:t>
      </w:r>
      <w:r w:rsidR="0019190F" w:rsidRPr="00452936">
        <w:rPr>
          <w:rFonts w:ascii="Titillium" w:hAnsi="Titillium"/>
          <w:sz w:val="20"/>
          <w:szCs w:val="20"/>
        </w:rPr>
        <w:t>non siano dotati</w:t>
      </w:r>
      <w:r w:rsidRPr="00452936">
        <w:rPr>
          <w:rFonts w:ascii="Titillium" w:hAnsi="Titillium"/>
          <w:sz w:val="20"/>
          <w:szCs w:val="20"/>
        </w:rPr>
        <w:t xml:space="preserve"> di un proprio sito </w:t>
      </w:r>
      <w:r w:rsidR="00AC74EE" w:rsidRPr="00452936">
        <w:rPr>
          <w:rFonts w:ascii="Titillium" w:hAnsi="Titillium"/>
          <w:sz w:val="20"/>
          <w:szCs w:val="20"/>
        </w:rPr>
        <w:t>istituzionale</w:t>
      </w:r>
      <w:r w:rsidRPr="00452936">
        <w:rPr>
          <w:rFonts w:ascii="Titillium" w:hAnsi="Titillium"/>
          <w:sz w:val="20"/>
          <w:szCs w:val="20"/>
        </w:rPr>
        <w:t xml:space="preserve"> è</w:t>
      </w:r>
      <w:r w:rsidR="001C1305" w:rsidRPr="00452936">
        <w:rPr>
          <w:rFonts w:ascii="Titillium" w:hAnsi="Titillium"/>
          <w:sz w:val="20"/>
          <w:szCs w:val="20"/>
        </w:rPr>
        <w:t>,</w:t>
      </w:r>
      <w:r w:rsidR="0030435C" w:rsidRPr="00452936">
        <w:rPr>
          <w:rFonts w:ascii="Titillium" w:hAnsi="Titillium"/>
          <w:sz w:val="20"/>
          <w:szCs w:val="20"/>
        </w:rPr>
        <w:t xml:space="preserve"> invece</w:t>
      </w:r>
      <w:r w:rsidR="001C1305" w:rsidRPr="00452936">
        <w:rPr>
          <w:rFonts w:ascii="Titillium" w:hAnsi="Titillium"/>
          <w:sz w:val="20"/>
          <w:szCs w:val="20"/>
        </w:rPr>
        <w:t>,</w:t>
      </w:r>
      <w:r w:rsidR="0030435C" w:rsidRPr="00452936">
        <w:rPr>
          <w:rFonts w:ascii="Titillium" w:hAnsi="Titillium"/>
          <w:sz w:val="20"/>
          <w:szCs w:val="20"/>
        </w:rPr>
        <w:t xml:space="preserve"> auspicabile la pubblicazione</w:t>
      </w:r>
      <w:r w:rsidRPr="00452936">
        <w:rPr>
          <w:rFonts w:ascii="Titillium" w:hAnsi="Titillium"/>
          <w:sz w:val="20"/>
          <w:szCs w:val="20"/>
        </w:rPr>
        <w:t xml:space="preserve"> nella sezion</w:t>
      </w:r>
      <w:r w:rsidR="009A1ED5" w:rsidRPr="00452936">
        <w:rPr>
          <w:rFonts w:ascii="Titillium" w:hAnsi="Titillium"/>
          <w:sz w:val="20"/>
          <w:szCs w:val="20"/>
        </w:rPr>
        <w:t>e “</w:t>
      </w:r>
      <w:r w:rsidR="009A1ED5" w:rsidRPr="00452936">
        <w:rPr>
          <w:rFonts w:ascii="Titillium" w:hAnsi="Titillium"/>
          <w:i/>
          <w:sz w:val="20"/>
          <w:szCs w:val="20"/>
        </w:rPr>
        <w:t>Amministrazione Trasparente</w:t>
      </w:r>
      <w:r w:rsidR="009A1ED5" w:rsidRPr="00452936">
        <w:rPr>
          <w:rFonts w:ascii="Titillium" w:hAnsi="Titillium"/>
          <w:sz w:val="20"/>
          <w:szCs w:val="20"/>
        </w:rPr>
        <w:t xml:space="preserve">” </w:t>
      </w:r>
      <w:r w:rsidR="00AC74EE" w:rsidRPr="00452936">
        <w:rPr>
          <w:rFonts w:ascii="Titillium" w:hAnsi="Titillium"/>
          <w:sz w:val="20"/>
          <w:szCs w:val="20"/>
        </w:rPr>
        <w:t xml:space="preserve">dell’amministrazione centrale </w:t>
      </w:r>
      <w:r w:rsidRPr="00452936">
        <w:rPr>
          <w:rFonts w:ascii="Titillium" w:hAnsi="Titillium"/>
          <w:sz w:val="20"/>
          <w:szCs w:val="20"/>
        </w:rPr>
        <w:t xml:space="preserve">di </w:t>
      </w:r>
      <w:r w:rsidR="0030435C" w:rsidRPr="00452936">
        <w:rPr>
          <w:rFonts w:ascii="Titillium" w:hAnsi="Titillium"/>
          <w:sz w:val="20"/>
          <w:szCs w:val="20"/>
        </w:rPr>
        <w:t xml:space="preserve">dati relativi </w:t>
      </w:r>
      <w:r w:rsidR="0019190F" w:rsidRPr="00452936">
        <w:rPr>
          <w:rFonts w:ascii="Titillium" w:hAnsi="Titillium"/>
          <w:sz w:val="20"/>
          <w:szCs w:val="20"/>
        </w:rPr>
        <w:t xml:space="preserve">a </w:t>
      </w:r>
      <w:r w:rsidR="0030435C" w:rsidRPr="00452936">
        <w:rPr>
          <w:rFonts w:ascii="Titillium" w:hAnsi="Titillium"/>
          <w:sz w:val="20"/>
          <w:szCs w:val="20"/>
        </w:rPr>
        <w:t>ciascun ufficio periferico</w:t>
      </w:r>
      <w:r w:rsidRPr="00452936">
        <w:rPr>
          <w:rFonts w:ascii="Titillium" w:hAnsi="Titillium"/>
          <w:sz w:val="20"/>
          <w:szCs w:val="20"/>
        </w:rPr>
        <w:t>.</w:t>
      </w:r>
    </w:p>
    <w:p w:rsidR="00452936" w:rsidRDefault="00AC74EE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quanto riguarda i dati rela</w:t>
      </w:r>
      <w:r w:rsidR="0019190F" w:rsidRPr="00452936">
        <w:rPr>
          <w:rFonts w:ascii="Titillium" w:hAnsi="Titillium"/>
          <w:sz w:val="20"/>
          <w:szCs w:val="20"/>
        </w:rPr>
        <w:t>tivi a eventuali</w:t>
      </w:r>
      <w:r w:rsidRPr="00452936">
        <w:rPr>
          <w:rFonts w:ascii="Titillium" w:hAnsi="Titillium"/>
          <w:sz w:val="20"/>
          <w:szCs w:val="20"/>
        </w:rPr>
        <w:t xml:space="preserve"> strutture interne dell’amministrazione, quali corpi e istituti dotati di autonomia, a</w:t>
      </w:r>
      <w:r w:rsidR="00316D15" w:rsidRPr="00452936">
        <w:rPr>
          <w:rFonts w:ascii="Titillium" w:hAnsi="Titillium"/>
          <w:sz w:val="20"/>
          <w:szCs w:val="20"/>
        </w:rPr>
        <w:t>nche in questo caso la pubblicazione coordinata dei dati potrà essere garantit</w:t>
      </w:r>
      <w:r w:rsidR="00B74A15" w:rsidRPr="00452936">
        <w:rPr>
          <w:rFonts w:ascii="Titillium" w:hAnsi="Titillium"/>
          <w:sz w:val="20"/>
          <w:szCs w:val="20"/>
        </w:rPr>
        <w:t>a</w:t>
      </w:r>
      <w:r w:rsidR="00316D15" w:rsidRPr="00452936">
        <w:rPr>
          <w:rFonts w:ascii="Titillium" w:hAnsi="Titillium"/>
          <w:sz w:val="20"/>
          <w:szCs w:val="20"/>
        </w:rPr>
        <w:t xml:space="preserve"> da </w:t>
      </w:r>
      <w:r w:rsidR="00316D15" w:rsidRPr="00452936">
        <w:rPr>
          <w:rFonts w:ascii="Titillium" w:hAnsi="Titillium"/>
          <w:i/>
          <w:sz w:val="20"/>
          <w:szCs w:val="20"/>
        </w:rPr>
        <w:t>link</w:t>
      </w:r>
      <w:r w:rsidR="00316D15" w:rsidRPr="00452936">
        <w:rPr>
          <w:rFonts w:ascii="Titillium" w:hAnsi="Titillium"/>
          <w:sz w:val="20"/>
          <w:szCs w:val="20"/>
        </w:rPr>
        <w:t xml:space="preserve"> che dalla sezione </w:t>
      </w:r>
    </w:p>
    <w:p w:rsidR="00452936" w:rsidRDefault="00452936" w:rsidP="00EA5E1D">
      <w:pPr>
        <w:jc w:val="both"/>
        <w:rPr>
          <w:rFonts w:ascii="Titillium" w:hAnsi="Titillium"/>
          <w:sz w:val="20"/>
          <w:szCs w:val="20"/>
        </w:rPr>
      </w:pPr>
    </w:p>
    <w:p w:rsidR="00316D15" w:rsidRPr="00452936" w:rsidRDefault="00316D1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>” dell’amministrazione conducano alle sezioni 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 xml:space="preserve">” delle strutture </w:t>
      </w:r>
      <w:r w:rsidR="00BE6D38" w:rsidRPr="00452936">
        <w:rPr>
          <w:rFonts w:ascii="Titillium" w:hAnsi="Titillium"/>
          <w:sz w:val="20"/>
          <w:szCs w:val="20"/>
        </w:rPr>
        <w:t xml:space="preserve">interne </w:t>
      </w:r>
      <w:r w:rsidRPr="00452936">
        <w:rPr>
          <w:rFonts w:ascii="Titillium" w:hAnsi="Titillium"/>
          <w:sz w:val="20"/>
          <w:szCs w:val="20"/>
        </w:rPr>
        <w:t>considerate. In alternativa, i dati possono confluire, con opportuna evidenziazione</w:t>
      </w:r>
      <w:r w:rsidR="001C1305" w:rsidRPr="00452936">
        <w:rPr>
          <w:rFonts w:ascii="Titillium" w:hAnsi="Titillium"/>
          <w:sz w:val="20"/>
          <w:szCs w:val="20"/>
        </w:rPr>
        <w:t xml:space="preserve">, nell’unica sezione </w:t>
      </w:r>
      <w:r w:rsidR="001C1305" w:rsidRPr="00452936">
        <w:rPr>
          <w:rFonts w:ascii="Titillium" w:hAnsi="Titillium"/>
          <w:sz w:val="20"/>
          <w:szCs w:val="20"/>
        </w:rPr>
        <w:lastRenderedPageBreak/>
        <w:t xml:space="preserve">principale </w:t>
      </w:r>
      <w:r w:rsidRPr="00452936">
        <w:rPr>
          <w:rFonts w:ascii="Titillium" w:hAnsi="Titillium"/>
          <w:sz w:val="20"/>
          <w:szCs w:val="20"/>
        </w:rPr>
        <w:t>“</w:t>
      </w:r>
      <w:r w:rsidRPr="00452936">
        <w:rPr>
          <w:rFonts w:ascii="Titillium" w:hAnsi="Titillium"/>
          <w:i/>
          <w:sz w:val="20"/>
          <w:szCs w:val="20"/>
        </w:rPr>
        <w:t>Amministrazione Trasparente</w:t>
      </w:r>
      <w:r w:rsidRPr="00452936">
        <w:rPr>
          <w:rFonts w:ascii="Titillium" w:hAnsi="Titillium"/>
          <w:sz w:val="20"/>
          <w:szCs w:val="20"/>
        </w:rPr>
        <w:t>”</w:t>
      </w:r>
      <w:r w:rsidR="001C1305" w:rsidRPr="00452936">
        <w:rPr>
          <w:rFonts w:ascii="Titillium" w:hAnsi="Titillium"/>
          <w:sz w:val="20"/>
          <w:szCs w:val="20"/>
        </w:rPr>
        <w:t>.</w:t>
      </w:r>
      <w:r w:rsidR="00BE6D38" w:rsidRPr="00452936">
        <w:rPr>
          <w:rFonts w:ascii="Titillium" w:hAnsi="Titillium"/>
          <w:sz w:val="20"/>
          <w:szCs w:val="20"/>
        </w:rPr>
        <w:t xml:space="preserve"> dell’amministrazione</w:t>
      </w:r>
      <w:r w:rsidRPr="00452936">
        <w:rPr>
          <w:rFonts w:ascii="Titillium" w:hAnsi="Titillium"/>
          <w:sz w:val="20"/>
          <w:szCs w:val="20"/>
        </w:rPr>
        <w:t xml:space="preserve">. In tal caso, negli eventuali siti delle strutture interne dovrà essere presente il </w:t>
      </w:r>
      <w:r w:rsidRPr="00452936">
        <w:rPr>
          <w:rFonts w:ascii="Titillium" w:hAnsi="Titillium"/>
          <w:i/>
          <w:sz w:val="20"/>
          <w:szCs w:val="20"/>
        </w:rPr>
        <w:t>link</w:t>
      </w:r>
      <w:r w:rsidRPr="00452936">
        <w:rPr>
          <w:rFonts w:ascii="Titillium" w:hAnsi="Titillium"/>
          <w:sz w:val="20"/>
          <w:szCs w:val="20"/>
        </w:rPr>
        <w:t xml:space="preserve"> ai dati </w:t>
      </w:r>
      <w:r w:rsidR="00BE6D38" w:rsidRPr="00452936">
        <w:rPr>
          <w:rFonts w:ascii="Titillium" w:hAnsi="Titillium"/>
          <w:sz w:val="20"/>
          <w:szCs w:val="20"/>
        </w:rPr>
        <w:t>presenti sul sito dell’amministrazione.</w:t>
      </w:r>
      <w:r w:rsidRPr="00452936">
        <w:rPr>
          <w:rFonts w:ascii="Titillium" w:hAnsi="Titillium"/>
          <w:sz w:val="20"/>
          <w:szCs w:val="20"/>
        </w:rPr>
        <w:t xml:space="preserve"> </w:t>
      </w:r>
    </w:p>
    <w:p w:rsidR="00ED2D6B" w:rsidRPr="00452936" w:rsidRDefault="00ED2D6B" w:rsidP="00452936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2" w:name="_Toc65656154"/>
      <w:r w:rsidRPr="00452936">
        <w:rPr>
          <w:rFonts w:ascii="Titillium" w:hAnsi="Titillium" w:cs="Times New Roman"/>
          <w:color w:val="auto"/>
          <w:sz w:val="20"/>
          <w:szCs w:val="20"/>
        </w:rPr>
        <w:t>Aggiornamento</w:t>
      </w:r>
      <w:bookmarkEnd w:id="2"/>
    </w:p>
    <w:p w:rsidR="00ED2D6B" w:rsidRPr="00452936" w:rsidRDefault="00ED2D6B" w:rsidP="00EA5E1D">
      <w:pPr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Innanzitutto è necessario che per ciascun dato, o categoria di dati, sia indicata la data di pubblicazione e, conseguentemente, di aggiornamento, nonché </w:t>
      </w:r>
      <w:r w:rsidR="00542BA7" w:rsidRPr="00452936">
        <w:rPr>
          <w:rFonts w:ascii="Titillium" w:hAnsi="Titillium"/>
          <w:sz w:val="20"/>
          <w:szCs w:val="20"/>
        </w:rPr>
        <w:t>l’arco temporale</w:t>
      </w:r>
      <w:r w:rsidR="00A364DE"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sz w:val="20"/>
          <w:szCs w:val="20"/>
        </w:rPr>
        <w:t>cui lo stesso dato, o c</w:t>
      </w:r>
      <w:r w:rsidR="002444ED" w:rsidRPr="00452936">
        <w:rPr>
          <w:rFonts w:ascii="Titillium" w:hAnsi="Titillium"/>
          <w:sz w:val="20"/>
          <w:szCs w:val="20"/>
        </w:rPr>
        <w:t>ategoria di dati, si riferisce.</w:t>
      </w:r>
    </w:p>
    <w:p w:rsidR="0003065B" w:rsidRPr="00452936" w:rsidRDefault="00ED2D6B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Si precisa, inoltre, che con il termine aggiornamento non si intende necessariamente la modifica del dato, essendo talvolta sufficiente un controllo dell’attualità delle informazioni pubblicate, anche a tutela di eventuali i</w:t>
      </w:r>
      <w:r w:rsidR="0003065B" w:rsidRPr="00452936">
        <w:rPr>
          <w:rFonts w:ascii="Titillium" w:hAnsi="Titillium"/>
          <w:sz w:val="20"/>
          <w:szCs w:val="20"/>
        </w:rPr>
        <w:t>nteressi individuali coinvolti.</w:t>
      </w:r>
    </w:p>
    <w:p w:rsidR="00D92758" w:rsidRPr="00452936" w:rsidRDefault="00153C20" w:rsidP="00D92758">
      <w:pPr>
        <w:autoSpaceDE w:val="0"/>
        <w:autoSpaceDN w:val="0"/>
        <w:adjustRightInd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Le pubbliche amministrazioni sono dunque tenute a controllare l’attualità </w:t>
      </w:r>
      <w:r w:rsidR="00D92758" w:rsidRPr="00452936">
        <w:rPr>
          <w:rFonts w:ascii="Titillium" w:hAnsi="Titillium"/>
          <w:sz w:val="20"/>
          <w:szCs w:val="20"/>
        </w:rPr>
        <w:t xml:space="preserve">e l’esattezza </w:t>
      </w:r>
      <w:r w:rsidRPr="00452936">
        <w:rPr>
          <w:rFonts w:ascii="Titillium" w:hAnsi="Titillium"/>
          <w:sz w:val="20"/>
          <w:szCs w:val="20"/>
        </w:rPr>
        <w:t>delle informazioni pubblicate e a modificarle, ove sia necessario, anche nei casi in cui l’interessato ne richieda l’aggiornamento, la rettificazione e l’integrazione ai sensi</w:t>
      </w:r>
      <w:r w:rsidR="00D92758" w:rsidRPr="00452936">
        <w:rPr>
          <w:rFonts w:ascii="Titillium" w:hAnsi="Titillium"/>
          <w:sz w:val="20"/>
          <w:szCs w:val="20"/>
        </w:rPr>
        <w:t xml:space="preserve"> dell’art. 16 del </w:t>
      </w:r>
      <w:r w:rsidR="00D92758" w:rsidRPr="00452936">
        <w:rPr>
          <w:rFonts w:ascii="Titillium" w:hAnsi="Titillium"/>
          <w:bCs/>
          <w:sz w:val="20"/>
          <w:szCs w:val="20"/>
        </w:rPr>
        <w:t xml:space="preserve">Regolamento </w:t>
      </w:r>
      <w:r w:rsidR="00D92758" w:rsidRPr="00452936">
        <w:rPr>
          <w:rFonts w:ascii="Titillium" w:hAnsi="Titillium"/>
          <w:sz w:val="20"/>
          <w:szCs w:val="20"/>
        </w:rPr>
        <w:t xml:space="preserve">(UE) 2016/679. </w:t>
      </w:r>
    </w:p>
    <w:p w:rsidR="00ED2D6B" w:rsidRPr="00452936" w:rsidRDefault="00A83E4A" w:rsidP="00ED2D6B">
      <w:pPr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È</w:t>
      </w:r>
      <w:r w:rsidR="00ED2D6B" w:rsidRPr="00452936">
        <w:rPr>
          <w:rFonts w:ascii="Titillium" w:hAnsi="Titillium"/>
          <w:i/>
          <w:sz w:val="20"/>
          <w:szCs w:val="20"/>
        </w:rPr>
        <w:t xml:space="preserve"> questo, ad esempio, il caso dei </w:t>
      </w:r>
      <w:r w:rsidR="00ED2D6B" w:rsidRPr="00452936">
        <w:rPr>
          <w:rFonts w:ascii="Titillium" w:hAnsi="Titillium"/>
          <w:i/>
          <w:iCs/>
          <w:sz w:val="20"/>
          <w:szCs w:val="20"/>
        </w:rPr>
        <w:t>curricula vitae</w:t>
      </w:r>
      <w:r w:rsidR="00ED2D6B" w:rsidRPr="00452936">
        <w:rPr>
          <w:rFonts w:ascii="Titillium" w:hAnsi="Titillium"/>
          <w:i/>
          <w:sz w:val="20"/>
          <w:szCs w:val="20"/>
        </w:rPr>
        <w:t xml:space="preserve"> dei dirigenti e dei tito</w:t>
      </w:r>
      <w:r w:rsidR="00C4300D" w:rsidRPr="00452936">
        <w:rPr>
          <w:rFonts w:ascii="Titillium" w:hAnsi="Titillium"/>
          <w:i/>
          <w:sz w:val="20"/>
          <w:szCs w:val="20"/>
        </w:rPr>
        <w:t>lari di posizioni organizzative</w:t>
      </w:r>
      <w:r w:rsidR="00ED2D6B" w:rsidRPr="00452936">
        <w:rPr>
          <w:rFonts w:ascii="Titillium" w:hAnsi="Titillium"/>
          <w:i/>
          <w:sz w:val="20"/>
          <w:szCs w:val="20"/>
        </w:rPr>
        <w:t>. Infatti, la previsione di una</w:t>
      </w:r>
      <w:r w:rsidR="00A364DE" w:rsidRPr="00452936">
        <w:rPr>
          <w:rFonts w:ascii="Titillium" w:hAnsi="Titillium"/>
          <w:i/>
          <w:sz w:val="20"/>
          <w:szCs w:val="20"/>
        </w:rPr>
        <w:t xml:space="preserve"> data cadenza di aggiornamento </w:t>
      </w:r>
      <w:r w:rsidR="00ED2D6B" w:rsidRPr="00452936">
        <w:rPr>
          <w:rFonts w:ascii="Titillium" w:hAnsi="Titillium"/>
          <w:i/>
          <w:sz w:val="20"/>
          <w:szCs w:val="20"/>
        </w:rPr>
        <w:t xml:space="preserve">non può implicare la necessità di rimodulare i contenuti dei documenti, in quanto le esperienze lavorative dei soggetti possono non aver subito alcuna modifica nell’arco temporale contemplato; tuttavia, la verifica degli stessi è importante proprio al fine di garantire l’attualità delle informazioni riportate. </w:t>
      </w:r>
    </w:p>
    <w:p w:rsidR="00ED2D6B" w:rsidRPr="00452936" w:rsidRDefault="007B7F8B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</w:t>
      </w:r>
      <w:r w:rsidR="00ED2D6B" w:rsidRPr="00452936">
        <w:rPr>
          <w:rFonts w:ascii="Titillium" w:hAnsi="Titillium"/>
          <w:sz w:val="20"/>
          <w:szCs w:val="20"/>
        </w:rPr>
        <w:t>er dar co</w:t>
      </w:r>
      <w:r w:rsidRPr="00452936">
        <w:rPr>
          <w:rFonts w:ascii="Titillium" w:hAnsi="Titillium"/>
          <w:sz w:val="20"/>
          <w:szCs w:val="20"/>
        </w:rPr>
        <w:t>nto dell’avvenuta verifica dell’attualità delle informazioni pubblicate</w:t>
      </w:r>
      <w:r w:rsidR="00ED2D6B" w:rsidRPr="00452936">
        <w:rPr>
          <w:rFonts w:ascii="Titillium" w:hAnsi="Titillium"/>
          <w:sz w:val="20"/>
          <w:szCs w:val="20"/>
        </w:rPr>
        <w:t xml:space="preserve">, è necessario che in ogni pagina della sezione </w:t>
      </w:r>
      <w:r w:rsidR="00293F09" w:rsidRPr="00452936">
        <w:rPr>
          <w:rFonts w:ascii="Titillium" w:hAnsi="Titillium"/>
          <w:sz w:val="20"/>
          <w:szCs w:val="20"/>
        </w:rPr>
        <w:t xml:space="preserve">“Amministrazione Trasparente” </w:t>
      </w:r>
      <w:r w:rsidR="00ED2D6B" w:rsidRPr="00452936">
        <w:rPr>
          <w:rFonts w:ascii="Titillium" w:hAnsi="Titillium"/>
          <w:sz w:val="20"/>
          <w:szCs w:val="20"/>
        </w:rPr>
        <w:t>sia indicata la relativa data di aggiornamento.</w:t>
      </w:r>
    </w:p>
    <w:p w:rsidR="00ED2D6B" w:rsidRPr="00452936" w:rsidRDefault="00C4300D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Il decreto legislativo n. </w:t>
      </w:r>
      <w:r w:rsidR="00500782" w:rsidRPr="00452936">
        <w:rPr>
          <w:rFonts w:ascii="Titillium" w:hAnsi="Titillium"/>
          <w:sz w:val="20"/>
          <w:szCs w:val="20"/>
        </w:rPr>
        <w:t>33</w:t>
      </w:r>
      <w:r w:rsidR="007B7F8B" w:rsidRPr="00452936">
        <w:rPr>
          <w:rFonts w:ascii="Titillium" w:hAnsi="Titillium"/>
          <w:sz w:val="20"/>
          <w:szCs w:val="20"/>
        </w:rPr>
        <w:t xml:space="preserve">/2013 </w:t>
      </w:r>
      <w:r w:rsidRPr="00452936">
        <w:rPr>
          <w:rFonts w:ascii="Titillium" w:hAnsi="Titillium"/>
          <w:sz w:val="20"/>
          <w:szCs w:val="20"/>
        </w:rPr>
        <w:t xml:space="preserve">ha individuato </w:t>
      </w:r>
      <w:r w:rsidR="00F60A49" w:rsidRPr="00452936">
        <w:rPr>
          <w:rFonts w:ascii="Titillium" w:hAnsi="Titillium"/>
          <w:sz w:val="20"/>
          <w:szCs w:val="20"/>
        </w:rPr>
        <w:t xml:space="preserve">quattro diverse </w:t>
      </w:r>
      <w:r w:rsidR="00ED2D6B" w:rsidRPr="00452936">
        <w:rPr>
          <w:rFonts w:ascii="Titillium" w:hAnsi="Titillium"/>
          <w:sz w:val="20"/>
          <w:szCs w:val="20"/>
        </w:rPr>
        <w:t>frequenze di aggiornamento:</w:t>
      </w:r>
    </w:p>
    <w:p w:rsidR="00ED2D6B" w:rsidRPr="00452936" w:rsidRDefault="00ED2D6B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Cadenza annuale</w:t>
      </w:r>
      <w:r w:rsidRPr="00452936">
        <w:rPr>
          <w:rFonts w:ascii="Titillium" w:hAnsi="Titillium"/>
          <w:sz w:val="20"/>
          <w:szCs w:val="20"/>
        </w:rPr>
        <w:t>, per i dati che, per loro natura, non subiscono modifiche frequenti o la cui durata è tipicamente annuale</w:t>
      </w:r>
      <w:r w:rsidR="00A364DE" w:rsidRPr="00452936">
        <w:rPr>
          <w:rFonts w:ascii="Titillium" w:hAnsi="Titillium"/>
          <w:sz w:val="20"/>
          <w:szCs w:val="20"/>
        </w:rPr>
        <w:t>.</w:t>
      </w:r>
    </w:p>
    <w:p w:rsidR="00ED2D6B" w:rsidRPr="00452936" w:rsidRDefault="00D91986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>Fra i dati che non sono oggetto di modifiche frequenti, si citano, fra gli altri, quelli relativi agli enti pubblici istituiti, vigilati e finanziati dall’amministrazione, alle società di cui l’amministrazione detiene quote di partecipazione minoritaria e agli enti di diritto privato in controllo dell’amministrazione</w:t>
      </w:r>
      <w:r w:rsidR="006451E7" w:rsidRPr="00452936">
        <w:rPr>
          <w:rFonts w:ascii="Titillium" w:hAnsi="Titillium"/>
          <w:i/>
          <w:sz w:val="20"/>
          <w:szCs w:val="20"/>
        </w:rPr>
        <w:t xml:space="preserve"> </w:t>
      </w:r>
      <w:r w:rsidR="006763B3" w:rsidRPr="00452936">
        <w:rPr>
          <w:rFonts w:ascii="Titillium" w:hAnsi="Titillium"/>
          <w:i/>
          <w:sz w:val="20"/>
          <w:szCs w:val="20"/>
        </w:rPr>
        <w:t>(</w:t>
      </w:r>
      <w:r w:rsidR="00500782" w:rsidRPr="00452936">
        <w:rPr>
          <w:rFonts w:ascii="Titillium" w:hAnsi="Titillium"/>
          <w:i/>
          <w:sz w:val="20"/>
          <w:szCs w:val="20"/>
        </w:rPr>
        <w:t>art. 22)</w:t>
      </w:r>
      <w:r w:rsidR="00A364DE" w:rsidRPr="00452936">
        <w:rPr>
          <w:rFonts w:ascii="Titillium" w:hAnsi="Titillium"/>
          <w:i/>
          <w:sz w:val="20"/>
          <w:szCs w:val="20"/>
        </w:rPr>
        <w:t xml:space="preserve">. </w:t>
      </w:r>
      <w:r w:rsidR="004A5956" w:rsidRPr="00452936">
        <w:rPr>
          <w:rFonts w:ascii="Titillium" w:hAnsi="Titillium"/>
          <w:i/>
          <w:sz w:val="20"/>
          <w:szCs w:val="20"/>
        </w:rPr>
        <w:t>Similmente</w:t>
      </w:r>
      <w:r w:rsidR="00F60A49" w:rsidRPr="00452936">
        <w:rPr>
          <w:rFonts w:ascii="Titillium" w:hAnsi="Titillium"/>
          <w:i/>
          <w:sz w:val="20"/>
          <w:szCs w:val="20"/>
        </w:rPr>
        <w:t xml:space="preserve">, hanno durata tipicamente annuale i dati relativi ai costi contabilizzati dei servizi erogati agli utenti e </w:t>
      </w:r>
      <w:r w:rsidR="00D35CE8" w:rsidRPr="00452936">
        <w:rPr>
          <w:rFonts w:ascii="Titillium" w:hAnsi="Titillium"/>
          <w:i/>
          <w:sz w:val="20"/>
          <w:szCs w:val="20"/>
        </w:rPr>
        <w:t>a</w:t>
      </w:r>
      <w:r w:rsidR="00F60A49" w:rsidRPr="00452936">
        <w:rPr>
          <w:rFonts w:ascii="Titillium" w:hAnsi="Titillium"/>
          <w:i/>
          <w:sz w:val="20"/>
          <w:szCs w:val="20"/>
        </w:rPr>
        <w:t>i tempi medi di erogazione degli stessi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10, c</w:t>
      </w:r>
      <w:r w:rsidR="00A83E4A"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</w:t>
      </w:r>
      <w:r w:rsidR="002803CC" w:rsidRPr="00452936">
        <w:rPr>
          <w:rFonts w:ascii="Titillium" w:hAnsi="Titillium"/>
          <w:i/>
          <w:sz w:val="20"/>
          <w:szCs w:val="20"/>
        </w:rPr>
        <w:t xml:space="preserve"> </w:t>
      </w:r>
      <w:r w:rsidR="00500782" w:rsidRPr="00452936">
        <w:rPr>
          <w:rFonts w:ascii="Titillium" w:hAnsi="Titillium"/>
          <w:i/>
          <w:sz w:val="20"/>
          <w:szCs w:val="20"/>
        </w:rPr>
        <w:t>5)</w:t>
      </w:r>
      <w:r w:rsidR="00F60A49" w:rsidRPr="00452936">
        <w:rPr>
          <w:rFonts w:ascii="Titillium" w:hAnsi="Titillium"/>
          <w:i/>
          <w:sz w:val="20"/>
          <w:szCs w:val="20"/>
        </w:rPr>
        <w:t xml:space="preserve">, nonché </w:t>
      </w:r>
      <w:r w:rsidR="00D35CE8" w:rsidRPr="00452936">
        <w:rPr>
          <w:rFonts w:ascii="Titillium" w:hAnsi="Titillium"/>
          <w:i/>
          <w:sz w:val="20"/>
          <w:szCs w:val="20"/>
        </w:rPr>
        <w:t>a</w:t>
      </w:r>
      <w:r w:rsidR="00F60A49" w:rsidRPr="00452936">
        <w:rPr>
          <w:rFonts w:ascii="Titillium" w:hAnsi="Titillium"/>
          <w:i/>
          <w:sz w:val="20"/>
          <w:szCs w:val="20"/>
        </w:rPr>
        <w:t>i tempi medi dei pagamenti relativi ad acquisti di beni, servizi e forniture</w:t>
      </w:r>
      <w:r w:rsidR="002803CC" w:rsidRPr="00452936">
        <w:rPr>
          <w:rFonts w:ascii="Titillium" w:hAnsi="Titillium"/>
          <w:i/>
          <w:sz w:val="20"/>
          <w:szCs w:val="20"/>
        </w:rPr>
        <w:t xml:space="preserve"> (art. 33)</w:t>
      </w:r>
      <w:r w:rsidR="00F60A49" w:rsidRPr="00452936">
        <w:rPr>
          <w:rFonts w:ascii="Titillium" w:hAnsi="Titillium"/>
          <w:i/>
          <w:sz w:val="20"/>
          <w:szCs w:val="20"/>
        </w:rPr>
        <w:t>. Per tutti è previsto l’aggiornamento annuale</w:t>
      </w:r>
      <w:r w:rsidR="002803CC" w:rsidRPr="00452936">
        <w:rPr>
          <w:rFonts w:ascii="Titillium" w:hAnsi="Titillium"/>
          <w:i/>
          <w:sz w:val="20"/>
          <w:szCs w:val="20"/>
        </w:rPr>
        <w:t>.</w:t>
      </w:r>
    </w:p>
    <w:p w:rsidR="00ED2D6B" w:rsidRPr="00452936" w:rsidRDefault="00ED2D6B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ED2D6B" w:rsidRPr="00452936" w:rsidRDefault="00ED2D6B" w:rsidP="002444ED">
      <w:pPr>
        <w:pStyle w:val="Paragrafoelenco"/>
        <w:numPr>
          <w:ilvl w:val="0"/>
          <w:numId w:val="2"/>
        </w:numPr>
        <w:ind w:left="709" w:hanging="284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iCs/>
          <w:sz w:val="20"/>
          <w:szCs w:val="20"/>
        </w:rPr>
        <w:t>Cadenza semestrale</w:t>
      </w:r>
      <w:r w:rsidRPr="00452936">
        <w:rPr>
          <w:rFonts w:ascii="Titillium" w:hAnsi="Titillium"/>
          <w:sz w:val="20"/>
          <w:szCs w:val="20"/>
        </w:rPr>
        <w:t xml:space="preserve">, per i dati che </w:t>
      </w:r>
      <w:r w:rsidR="0073596F" w:rsidRPr="00452936">
        <w:rPr>
          <w:rFonts w:ascii="Titillium" w:hAnsi="Titillium"/>
          <w:sz w:val="20"/>
          <w:szCs w:val="20"/>
        </w:rPr>
        <w:t>sono</w:t>
      </w:r>
      <w:r w:rsidRPr="00452936">
        <w:rPr>
          <w:rFonts w:ascii="Titillium" w:hAnsi="Titillium"/>
          <w:sz w:val="20"/>
          <w:szCs w:val="20"/>
        </w:rPr>
        <w:t xml:space="preserve"> suscettibili di modifiche frequenti</w:t>
      </w:r>
      <w:r w:rsidR="0073596F" w:rsidRPr="00452936">
        <w:rPr>
          <w:rFonts w:ascii="Titillium" w:hAnsi="Titillium"/>
          <w:sz w:val="20"/>
          <w:szCs w:val="20"/>
        </w:rPr>
        <w:t xml:space="preserve"> ma</w:t>
      </w:r>
      <w:r w:rsidR="00FB66FA" w:rsidRPr="00452936">
        <w:rPr>
          <w:rFonts w:ascii="Titillium" w:hAnsi="Titillium"/>
          <w:sz w:val="20"/>
          <w:szCs w:val="20"/>
        </w:rPr>
        <w:t xml:space="preserve"> per i quali la norma non richiede espressamente modalità di aggiornamento eccessivamente onerose in quanto la pubblicazione implica per l’</w:t>
      </w:r>
      <w:r w:rsidRPr="00452936">
        <w:rPr>
          <w:rFonts w:ascii="Titillium" w:hAnsi="Titillium"/>
          <w:sz w:val="20"/>
          <w:szCs w:val="20"/>
        </w:rPr>
        <w:t xml:space="preserve">amministrazione </w:t>
      </w:r>
      <w:r w:rsidR="00FB66FA" w:rsidRPr="00452936">
        <w:rPr>
          <w:rFonts w:ascii="Titillium" w:hAnsi="Titillium"/>
          <w:sz w:val="20"/>
          <w:szCs w:val="20"/>
        </w:rPr>
        <w:t xml:space="preserve">un </w:t>
      </w:r>
      <w:r w:rsidRPr="00452936">
        <w:rPr>
          <w:rFonts w:ascii="Titillium" w:hAnsi="Titillium"/>
          <w:sz w:val="20"/>
          <w:szCs w:val="20"/>
        </w:rPr>
        <w:t>notevole impegno</w:t>
      </w:r>
      <w:r w:rsidR="004A5956" w:rsidRPr="00452936">
        <w:rPr>
          <w:rFonts w:ascii="Titillium" w:hAnsi="Titillium"/>
          <w:sz w:val="20"/>
          <w:szCs w:val="20"/>
        </w:rPr>
        <w:t>,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4A5956" w:rsidRPr="00452936">
        <w:rPr>
          <w:rFonts w:ascii="Titillium" w:hAnsi="Titillium"/>
          <w:sz w:val="20"/>
          <w:szCs w:val="20"/>
        </w:rPr>
        <w:t xml:space="preserve">a livello organizzativo e di risorse dedicate, </w:t>
      </w:r>
      <w:r w:rsidR="0073596F" w:rsidRPr="00452936">
        <w:rPr>
          <w:rFonts w:ascii="Titillium" w:hAnsi="Titillium"/>
          <w:sz w:val="20"/>
          <w:szCs w:val="20"/>
        </w:rPr>
        <w:t xml:space="preserve">tanto più </w:t>
      </w:r>
      <w:r w:rsidRPr="00452936">
        <w:rPr>
          <w:rFonts w:ascii="Titillium" w:hAnsi="Titillium"/>
          <w:sz w:val="20"/>
          <w:szCs w:val="20"/>
        </w:rPr>
        <w:t>per gli enti con uffici periferici</w:t>
      </w:r>
      <w:r w:rsidR="0073596F" w:rsidRPr="00452936">
        <w:rPr>
          <w:rFonts w:ascii="Titillium" w:hAnsi="Titillium"/>
          <w:sz w:val="20"/>
          <w:szCs w:val="20"/>
        </w:rPr>
        <w:t>.</w:t>
      </w:r>
    </w:p>
    <w:p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F96187" w:rsidRDefault="00F96187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ED2D6B" w:rsidRPr="00452936" w:rsidRDefault="00A83E4A" w:rsidP="003E0E78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È </w:t>
      </w:r>
      <w:r w:rsidR="00624A8B" w:rsidRPr="00452936">
        <w:rPr>
          <w:rFonts w:ascii="Titillium" w:hAnsi="Titillium"/>
          <w:i/>
          <w:sz w:val="20"/>
          <w:szCs w:val="20"/>
        </w:rPr>
        <w:t>il caso dei provvedimenti adottati dagli organi di indirizzo politico</w:t>
      </w:r>
      <w:r w:rsidR="006E2345" w:rsidRPr="00452936">
        <w:rPr>
          <w:rFonts w:ascii="Titillium" w:hAnsi="Titillium"/>
          <w:i/>
          <w:sz w:val="20"/>
          <w:szCs w:val="20"/>
        </w:rPr>
        <w:t xml:space="preserve"> e dai dirigenti amministrativi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23, c</w:t>
      </w:r>
      <w:r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 1)</w:t>
      </w:r>
      <w:r w:rsidR="006E2345" w:rsidRPr="00452936">
        <w:rPr>
          <w:rFonts w:ascii="Titillium" w:hAnsi="Titillium"/>
          <w:i/>
          <w:sz w:val="20"/>
          <w:szCs w:val="20"/>
        </w:rPr>
        <w:t>.</w:t>
      </w:r>
    </w:p>
    <w:p w:rsidR="00ED2D6B" w:rsidRPr="00452936" w:rsidRDefault="00ED2D6B" w:rsidP="00ED2D6B">
      <w:pPr>
        <w:pStyle w:val="Paragrafoelenco"/>
        <w:ind w:left="567"/>
        <w:jc w:val="both"/>
        <w:rPr>
          <w:rFonts w:ascii="Titillium" w:hAnsi="Titillium"/>
          <w:i/>
          <w:sz w:val="20"/>
          <w:szCs w:val="20"/>
        </w:rPr>
      </w:pPr>
    </w:p>
    <w:p w:rsidR="006E2345" w:rsidRPr="00452936" w:rsidRDefault="006E2345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b/>
          <w:sz w:val="20"/>
          <w:szCs w:val="20"/>
        </w:rPr>
        <w:t>Cadenza trimestrale</w:t>
      </w:r>
      <w:r w:rsidRPr="00452936">
        <w:rPr>
          <w:rFonts w:ascii="Titillium" w:hAnsi="Titillium"/>
          <w:sz w:val="20"/>
          <w:szCs w:val="20"/>
        </w:rPr>
        <w:t>, per i dati soggetti a frequenti cambiamenti</w:t>
      </w:r>
      <w:r w:rsidR="00874D18" w:rsidRPr="00452936">
        <w:rPr>
          <w:rFonts w:ascii="Titillium" w:hAnsi="Titillium"/>
          <w:sz w:val="20"/>
          <w:szCs w:val="20"/>
        </w:rPr>
        <w:t>.</w:t>
      </w:r>
    </w:p>
    <w:p w:rsidR="00ED2D6B" w:rsidRPr="00452936" w:rsidRDefault="00A83E4A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È </w:t>
      </w:r>
      <w:r w:rsidR="006E2345" w:rsidRPr="00452936">
        <w:rPr>
          <w:rFonts w:ascii="Titillium" w:hAnsi="Titillium"/>
          <w:i/>
          <w:sz w:val="20"/>
          <w:szCs w:val="20"/>
        </w:rPr>
        <w:t xml:space="preserve">previsto l’aggiornamento trimestrale dei dati relativi, ad esempio, </w:t>
      </w:r>
      <w:r w:rsidR="004E55C8" w:rsidRPr="00452936">
        <w:rPr>
          <w:rFonts w:ascii="Titillium" w:hAnsi="Titillium"/>
          <w:i/>
          <w:sz w:val="20"/>
          <w:szCs w:val="20"/>
        </w:rPr>
        <w:t>a</w:t>
      </w:r>
      <w:r w:rsidR="006E2345" w:rsidRPr="00452936">
        <w:rPr>
          <w:rFonts w:ascii="Titillium" w:hAnsi="Titillium"/>
          <w:i/>
          <w:sz w:val="20"/>
          <w:szCs w:val="20"/>
        </w:rPr>
        <w:t>i tassi di assenza del personale</w:t>
      </w:r>
      <w:r w:rsidR="00500782" w:rsidRPr="00452936">
        <w:rPr>
          <w:rFonts w:ascii="Titillium" w:hAnsi="Titillium"/>
          <w:i/>
          <w:sz w:val="20"/>
          <w:szCs w:val="20"/>
        </w:rPr>
        <w:t xml:space="preserve"> (art. 16, c</w:t>
      </w:r>
      <w:r w:rsidRPr="00452936">
        <w:rPr>
          <w:rFonts w:ascii="Titillium" w:hAnsi="Titillium"/>
          <w:i/>
          <w:sz w:val="20"/>
          <w:szCs w:val="20"/>
        </w:rPr>
        <w:t>o</w:t>
      </w:r>
      <w:r w:rsidR="00500782" w:rsidRPr="00452936">
        <w:rPr>
          <w:rFonts w:ascii="Titillium" w:hAnsi="Titillium"/>
          <w:i/>
          <w:sz w:val="20"/>
          <w:szCs w:val="20"/>
        </w:rPr>
        <w:t>. 3)</w:t>
      </w:r>
      <w:r w:rsidR="006E2345" w:rsidRPr="00452936">
        <w:rPr>
          <w:rFonts w:ascii="Titillium" w:hAnsi="Titillium"/>
          <w:i/>
          <w:sz w:val="20"/>
          <w:szCs w:val="20"/>
        </w:rPr>
        <w:t>.</w:t>
      </w:r>
    </w:p>
    <w:p w:rsidR="00ED2D6B" w:rsidRPr="00452936" w:rsidRDefault="00ED2D6B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</w:p>
    <w:p w:rsidR="00ED2D6B" w:rsidRPr="000C06A4" w:rsidRDefault="00ED2D6B" w:rsidP="00ED2D6B">
      <w:pPr>
        <w:pStyle w:val="Paragrafoelenco"/>
        <w:numPr>
          <w:ilvl w:val="0"/>
          <w:numId w:val="2"/>
        </w:numPr>
        <w:ind w:hanging="294"/>
        <w:contextualSpacing w:val="0"/>
        <w:jc w:val="both"/>
        <w:rPr>
          <w:rFonts w:ascii="Titillium" w:hAnsi="Titillium"/>
          <w:sz w:val="20"/>
          <w:szCs w:val="20"/>
        </w:rPr>
      </w:pPr>
      <w:r w:rsidRPr="000C06A4">
        <w:rPr>
          <w:rFonts w:ascii="Titillium" w:hAnsi="Titillium"/>
          <w:b/>
          <w:iCs/>
          <w:sz w:val="20"/>
          <w:szCs w:val="20"/>
        </w:rPr>
        <w:t>Aggiornamento tempestivo</w:t>
      </w:r>
      <w:r w:rsidRPr="000C06A4">
        <w:rPr>
          <w:rFonts w:ascii="Titillium" w:hAnsi="Titillium"/>
          <w:iCs/>
          <w:sz w:val="20"/>
          <w:szCs w:val="20"/>
        </w:rPr>
        <w:t>, per i dati che è</w:t>
      </w:r>
      <w:r w:rsidRPr="000C06A4">
        <w:rPr>
          <w:rFonts w:ascii="Titillium" w:hAnsi="Titillium"/>
          <w:sz w:val="20"/>
          <w:szCs w:val="20"/>
        </w:rPr>
        <w:t xml:space="preserve"> indispensabile siano pubblicati nell’immediatezza della loro adozione</w:t>
      </w:r>
      <w:r w:rsidR="00874D18" w:rsidRPr="000C06A4">
        <w:rPr>
          <w:rFonts w:ascii="Titillium" w:hAnsi="Titillium"/>
          <w:sz w:val="20"/>
          <w:szCs w:val="20"/>
        </w:rPr>
        <w:t>.</w:t>
      </w:r>
    </w:p>
    <w:p w:rsidR="00ED2D6B" w:rsidRPr="00452936" w:rsidRDefault="006E2345" w:rsidP="00ED2D6B">
      <w:pPr>
        <w:pStyle w:val="Paragrafoelenco"/>
        <w:ind w:left="567" w:right="566"/>
        <w:jc w:val="both"/>
        <w:rPr>
          <w:rFonts w:ascii="Titillium" w:hAnsi="Titillium"/>
          <w:i/>
          <w:sz w:val="20"/>
          <w:szCs w:val="20"/>
        </w:rPr>
      </w:pPr>
      <w:r w:rsidRPr="00452936">
        <w:rPr>
          <w:rFonts w:ascii="Titillium" w:hAnsi="Titillium"/>
          <w:i/>
          <w:sz w:val="20"/>
          <w:szCs w:val="20"/>
        </w:rPr>
        <w:t xml:space="preserve">Ciò avviene, fra gli altri, nel caso </w:t>
      </w:r>
      <w:r w:rsidR="00497885" w:rsidRPr="00452936">
        <w:rPr>
          <w:rFonts w:ascii="Titillium" w:hAnsi="Titillium"/>
          <w:i/>
          <w:sz w:val="20"/>
          <w:szCs w:val="20"/>
        </w:rPr>
        <w:t>degli atti di concessione di sovvenzioni, contributi, sussidi ed ausili finanziari alle imprese e comunque di vantaggi economici di qualunque genere a persone ed enti pubblici e privati di importo superiore a mille euro (art. 26, c</w:t>
      </w:r>
      <w:r w:rsidR="00A83E4A" w:rsidRPr="00452936">
        <w:rPr>
          <w:rFonts w:ascii="Titillium" w:hAnsi="Titillium"/>
          <w:i/>
          <w:sz w:val="20"/>
          <w:szCs w:val="20"/>
        </w:rPr>
        <w:t>o</w:t>
      </w:r>
      <w:r w:rsidR="00497885" w:rsidRPr="00452936">
        <w:rPr>
          <w:rFonts w:ascii="Titillium" w:hAnsi="Titillium"/>
          <w:i/>
          <w:sz w:val="20"/>
          <w:szCs w:val="20"/>
        </w:rPr>
        <w:t>. 2)</w:t>
      </w:r>
      <w:r w:rsidR="00A83E4A" w:rsidRPr="00452936">
        <w:rPr>
          <w:rFonts w:ascii="Titillium" w:hAnsi="Titillium"/>
          <w:i/>
          <w:sz w:val="20"/>
          <w:szCs w:val="20"/>
        </w:rPr>
        <w:t>.</w:t>
      </w:r>
      <w:r w:rsidRPr="00452936">
        <w:rPr>
          <w:rFonts w:ascii="Titillium" w:hAnsi="Titillium"/>
          <w:i/>
          <w:sz w:val="20"/>
          <w:szCs w:val="20"/>
        </w:rPr>
        <w:t xml:space="preserve"> </w:t>
      </w:r>
    </w:p>
    <w:p w:rsidR="000E10A2" w:rsidRPr="00452936" w:rsidRDefault="006E2345" w:rsidP="00EA5E1D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Si fa presente, comunque, che </w:t>
      </w:r>
      <w:r w:rsidR="00A044AE" w:rsidRPr="00452936">
        <w:rPr>
          <w:rFonts w:ascii="Titillium" w:hAnsi="Titillium"/>
          <w:sz w:val="20"/>
          <w:szCs w:val="20"/>
        </w:rPr>
        <w:t>all’art. 8, 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A044AE" w:rsidRPr="00452936">
        <w:rPr>
          <w:rFonts w:ascii="Titillium" w:hAnsi="Titillium"/>
          <w:sz w:val="20"/>
          <w:szCs w:val="20"/>
        </w:rPr>
        <w:t xml:space="preserve"> 1, del d.lgs. n. </w:t>
      </w:r>
      <w:r w:rsidR="00FE3DAD" w:rsidRPr="00452936">
        <w:rPr>
          <w:rFonts w:ascii="Titillium" w:hAnsi="Titillium"/>
          <w:sz w:val="20"/>
          <w:szCs w:val="20"/>
        </w:rPr>
        <w:t>33</w:t>
      </w:r>
      <w:r w:rsidR="00A044AE" w:rsidRPr="00452936">
        <w:rPr>
          <w:rFonts w:ascii="Titillium" w:hAnsi="Titillium"/>
          <w:sz w:val="20"/>
          <w:szCs w:val="20"/>
        </w:rPr>
        <w:t>/2013 si prevede</w:t>
      </w:r>
      <w:r w:rsidR="004E55C8" w:rsidRPr="00452936">
        <w:rPr>
          <w:rFonts w:ascii="Titillium" w:hAnsi="Titillium"/>
          <w:sz w:val="20"/>
          <w:szCs w:val="20"/>
        </w:rPr>
        <w:t>, in linea generale,</w:t>
      </w:r>
      <w:r w:rsidR="00A044AE" w:rsidRPr="00452936">
        <w:rPr>
          <w:rFonts w:ascii="Titillium" w:hAnsi="Titillium"/>
          <w:sz w:val="20"/>
          <w:szCs w:val="20"/>
        </w:rPr>
        <w:t xml:space="preserve"> che </w:t>
      </w:r>
      <w:r w:rsidR="004E55C8" w:rsidRPr="00452936">
        <w:rPr>
          <w:rFonts w:ascii="Titillium" w:hAnsi="Titillium"/>
          <w:sz w:val="20"/>
          <w:szCs w:val="20"/>
        </w:rPr>
        <w:t>“</w:t>
      </w:r>
      <w:r w:rsidR="002123B6" w:rsidRPr="00452936">
        <w:rPr>
          <w:rFonts w:ascii="Titillium" w:hAnsi="Titillium"/>
          <w:i/>
          <w:sz w:val="20"/>
          <w:szCs w:val="20"/>
        </w:rPr>
        <w:t>i</w:t>
      </w:r>
      <w:r w:rsidR="00A044AE" w:rsidRPr="00452936">
        <w:rPr>
          <w:rFonts w:ascii="Titillium" w:hAnsi="Titillium"/>
          <w:i/>
          <w:sz w:val="20"/>
          <w:szCs w:val="20"/>
        </w:rPr>
        <w:t xml:space="preserve"> documenti contenenti atti oggetto di pubblicazione obbligatoria ai sensi della normativa vigente sono pubblicati tempestivamente sul sito istituzionale dell’amministrazione</w:t>
      </w:r>
      <w:r w:rsidR="00023411" w:rsidRPr="00452936">
        <w:rPr>
          <w:rFonts w:ascii="Titillium" w:hAnsi="Titillium"/>
          <w:sz w:val="20"/>
          <w:szCs w:val="20"/>
        </w:rPr>
        <w:t>”</w:t>
      </w:r>
      <w:r w:rsidR="00FB66FA" w:rsidRPr="00452936">
        <w:rPr>
          <w:rFonts w:ascii="Titillium" w:hAnsi="Titillium"/>
          <w:sz w:val="20"/>
          <w:szCs w:val="20"/>
        </w:rPr>
        <w:t xml:space="preserve"> e quindi, laddove la norma no</w:t>
      </w:r>
      <w:r w:rsidR="00CD08AF" w:rsidRPr="00452936">
        <w:rPr>
          <w:rFonts w:ascii="Titillium" w:hAnsi="Titillium"/>
          <w:sz w:val="20"/>
          <w:szCs w:val="20"/>
        </w:rPr>
        <w:t>n menziona in maniera esplicita l’aggiornamento</w:t>
      </w:r>
      <w:r w:rsidR="00FB66FA" w:rsidRPr="00452936">
        <w:rPr>
          <w:rFonts w:ascii="Titillium" w:hAnsi="Titillium"/>
          <w:sz w:val="20"/>
          <w:szCs w:val="20"/>
        </w:rPr>
        <w:t>, si deve intendere che l’amministrazione sia tenuta alla pub</w:t>
      </w:r>
      <w:r w:rsidR="00061838" w:rsidRPr="00452936">
        <w:rPr>
          <w:rFonts w:ascii="Titillium" w:hAnsi="Titillium"/>
          <w:sz w:val="20"/>
          <w:szCs w:val="20"/>
        </w:rPr>
        <w:t>blicazione e, di conseguenza, a</w:t>
      </w:r>
      <w:r w:rsidR="00FB66FA" w:rsidRPr="00452936">
        <w:rPr>
          <w:rFonts w:ascii="Titillium" w:hAnsi="Titillium"/>
          <w:sz w:val="20"/>
          <w:szCs w:val="20"/>
        </w:rPr>
        <w:t xml:space="preserve"> un aggiornamento tempestivo.</w:t>
      </w:r>
    </w:p>
    <w:p w:rsidR="00AE07A2" w:rsidRPr="00452936" w:rsidRDefault="0003065B" w:rsidP="004B532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Per l</w:t>
      </w:r>
      <w:r w:rsidR="00ED2D6B" w:rsidRPr="00452936">
        <w:rPr>
          <w:rFonts w:ascii="Titillium" w:hAnsi="Titillium"/>
          <w:sz w:val="20"/>
          <w:szCs w:val="20"/>
        </w:rPr>
        <w:t xml:space="preserve">e tempistiche di aggiornamento </w:t>
      </w:r>
      <w:r w:rsidR="00AE458E" w:rsidRPr="00452936">
        <w:rPr>
          <w:rFonts w:ascii="Titillium" w:hAnsi="Titillium"/>
          <w:sz w:val="20"/>
          <w:szCs w:val="20"/>
        </w:rPr>
        <w:t>disposte</w:t>
      </w:r>
      <w:r w:rsidR="00ED2D6B" w:rsidRPr="00452936">
        <w:rPr>
          <w:rFonts w:ascii="Titillium" w:hAnsi="Titillium"/>
          <w:sz w:val="20"/>
          <w:szCs w:val="20"/>
        </w:rPr>
        <w:t xml:space="preserve"> per ciascuno dei dati soggetti ad obbligo di pubblicazione </w:t>
      </w:r>
      <w:r w:rsidRPr="00452936">
        <w:rPr>
          <w:rFonts w:ascii="Titillium" w:hAnsi="Titillium"/>
          <w:sz w:val="20"/>
          <w:szCs w:val="20"/>
        </w:rPr>
        <w:t>si rinvia a</w:t>
      </w:r>
      <w:r w:rsidR="00A61CF1" w:rsidRPr="00452936">
        <w:rPr>
          <w:rFonts w:ascii="Titillium" w:hAnsi="Titillium"/>
          <w:sz w:val="20"/>
          <w:szCs w:val="20"/>
        </w:rPr>
        <w:t>ll’allegato</w:t>
      </w:r>
      <w:r w:rsidR="002123B6" w:rsidRPr="00452936">
        <w:rPr>
          <w:rFonts w:ascii="Titillium" w:hAnsi="Titillium"/>
          <w:sz w:val="20"/>
          <w:szCs w:val="20"/>
        </w:rPr>
        <w:t xml:space="preserve"> </w:t>
      </w:r>
      <w:r w:rsidR="00293F09" w:rsidRPr="00452936">
        <w:rPr>
          <w:rFonts w:ascii="Titillium" w:hAnsi="Titillium"/>
          <w:sz w:val="20"/>
          <w:szCs w:val="20"/>
        </w:rPr>
        <w:t>1</w:t>
      </w:r>
      <w:r w:rsidR="00D92758" w:rsidRPr="00452936">
        <w:rPr>
          <w:rFonts w:ascii="Titillium" w:hAnsi="Titillium"/>
          <w:sz w:val="20"/>
          <w:szCs w:val="20"/>
        </w:rPr>
        <w:t xml:space="preserve"> della determinazione ANAC n. 1310/2016.</w:t>
      </w:r>
    </w:p>
    <w:p w:rsidR="00D25F06" w:rsidRPr="00C57C02" w:rsidRDefault="000E10A2" w:rsidP="00D25F06">
      <w:pPr>
        <w:jc w:val="both"/>
        <w:rPr>
          <w:rFonts w:ascii="Titillium" w:hAnsi="Titillium"/>
          <w:sz w:val="20"/>
          <w:szCs w:val="20"/>
        </w:rPr>
      </w:pPr>
      <w:r w:rsidRPr="00C57C02">
        <w:rPr>
          <w:rFonts w:ascii="Titillium" w:hAnsi="Titillium"/>
          <w:sz w:val="20"/>
          <w:szCs w:val="20"/>
        </w:rPr>
        <w:t>Con riguardo alla “tempestivi</w:t>
      </w:r>
      <w:r w:rsidR="00C37581">
        <w:rPr>
          <w:rFonts w:ascii="Titillium" w:hAnsi="Titillium"/>
          <w:sz w:val="20"/>
          <w:szCs w:val="20"/>
        </w:rPr>
        <w:t>tà” della pubblicazione disposta</w:t>
      </w:r>
      <w:r w:rsidRPr="00C57C02">
        <w:rPr>
          <w:rFonts w:ascii="Titillium" w:hAnsi="Titillium"/>
          <w:sz w:val="20"/>
          <w:szCs w:val="20"/>
        </w:rPr>
        <w:t xml:space="preserve"> dal richiamato art. 8</w:t>
      </w:r>
      <w:r w:rsidR="00C37581">
        <w:rPr>
          <w:rFonts w:ascii="Titillium" w:hAnsi="Titillium"/>
          <w:sz w:val="20"/>
          <w:szCs w:val="20"/>
        </w:rPr>
        <w:t>,</w:t>
      </w:r>
      <w:r w:rsidRPr="00C57C02">
        <w:rPr>
          <w:rFonts w:ascii="Titillium" w:hAnsi="Titillium"/>
          <w:sz w:val="20"/>
          <w:szCs w:val="20"/>
        </w:rPr>
        <w:t xml:space="preserve"> si precisa che, per la loro natura (es. bandi di concorso) o per disposizione di legge (es. nel caso in cui la pubblicazione sia condizione di efficacia) è indispensabile che i dati siano pubblicati nell’immediatezza della loro adozione. </w:t>
      </w:r>
    </w:p>
    <w:p w:rsidR="000E10A2" w:rsidRPr="007D3B31" w:rsidRDefault="00784A1B" w:rsidP="00D25F06">
      <w:pPr>
        <w:jc w:val="both"/>
        <w:rPr>
          <w:rFonts w:ascii="Titillium" w:hAnsi="Titillium"/>
          <w:sz w:val="20"/>
          <w:szCs w:val="20"/>
        </w:rPr>
      </w:pPr>
      <w:r w:rsidRPr="007D3B31">
        <w:rPr>
          <w:rFonts w:ascii="Titillium" w:hAnsi="Titillium"/>
          <w:sz w:val="20"/>
          <w:szCs w:val="20"/>
        </w:rPr>
        <w:t>Sul</w:t>
      </w:r>
      <w:r w:rsidR="009F0AF6" w:rsidRPr="007D3B31">
        <w:rPr>
          <w:rFonts w:ascii="Titillium" w:hAnsi="Titillium"/>
          <w:sz w:val="20"/>
          <w:szCs w:val="20"/>
        </w:rPr>
        <w:t xml:space="preserve"> concetto di </w:t>
      </w:r>
      <w:r w:rsidR="00D25F06" w:rsidRPr="007D3B31">
        <w:rPr>
          <w:rFonts w:ascii="Titillium" w:hAnsi="Titillium"/>
          <w:sz w:val="20"/>
          <w:szCs w:val="20"/>
        </w:rPr>
        <w:t>“tempestività” della pubblicazione, l’Autorità</w:t>
      </w:r>
      <w:r w:rsidR="00011EFA" w:rsidRPr="007D3B31">
        <w:rPr>
          <w:rFonts w:ascii="Titillium" w:hAnsi="Titillium"/>
          <w:sz w:val="20"/>
          <w:szCs w:val="20"/>
        </w:rPr>
        <w:t xml:space="preserve">, con riferimento ai </w:t>
      </w:r>
      <w:r w:rsidR="00C57C02" w:rsidRPr="007D3B31">
        <w:rPr>
          <w:rFonts w:ascii="Titillium" w:hAnsi="Titillium"/>
          <w:sz w:val="20"/>
          <w:szCs w:val="20"/>
        </w:rPr>
        <w:t xml:space="preserve">piccoli comuni, </w:t>
      </w:r>
      <w:r w:rsidR="00D25F06" w:rsidRPr="007D3B31">
        <w:rPr>
          <w:rFonts w:ascii="Titillium" w:hAnsi="Titillium"/>
          <w:sz w:val="20"/>
          <w:szCs w:val="20"/>
        </w:rPr>
        <w:t xml:space="preserve">ha </w:t>
      </w:r>
      <w:r w:rsidR="000E10A2" w:rsidRPr="007D3B31">
        <w:rPr>
          <w:rFonts w:ascii="Titillium" w:hAnsi="Titillium"/>
          <w:sz w:val="20"/>
          <w:szCs w:val="20"/>
        </w:rPr>
        <w:t>valutato opportuno non vincolare in modo predeterminato le amministrazioni</w:t>
      </w:r>
      <w:r w:rsidR="00655239" w:rsidRPr="007D3B31">
        <w:rPr>
          <w:rFonts w:ascii="Titillium" w:hAnsi="Titillium"/>
          <w:sz w:val="20"/>
          <w:szCs w:val="20"/>
        </w:rPr>
        <w:t>,</w:t>
      </w:r>
      <w:r w:rsidR="000E10A2" w:rsidRPr="007D3B31">
        <w:rPr>
          <w:rFonts w:ascii="Titillium" w:hAnsi="Titillium"/>
          <w:sz w:val="20"/>
          <w:szCs w:val="20"/>
        </w:rPr>
        <w:t xml:space="preserve"> </w:t>
      </w:r>
      <w:r w:rsidR="00CA6AAD" w:rsidRPr="007D3B31">
        <w:rPr>
          <w:rFonts w:ascii="Titillium" w:hAnsi="Titillium"/>
          <w:sz w:val="20"/>
          <w:szCs w:val="20"/>
        </w:rPr>
        <w:t>preferendo</w:t>
      </w:r>
      <w:r w:rsidR="000E10A2" w:rsidRPr="007D3B31">
        <w:rPr>
          <w:rFonts w:ascii="Titillium" w:hAnsi="Titillium"/>
          <w:sz w:val="20"/>
          <w:szCs w:val="20"/>
        </w:rPr>
        <w:t xml:space="preserve"> rimettere all’autonomia organizzativa degli enti la </w:t>
      </w:r>
      <w:r w:rsidRPr="007D3B31">
        <w:rPr>
          <w:rFonts w:ascii="Titillium" w:hAnsi="Titillium"/>
          <w:sz w:val="20"/>
          <w:szCs w:val="20"/>
        </w:rPr>
        <w:t xml:space="preserve">sua </w:t>
      </w:r>
      <w:r w:rsidR="000E10A2" w:rsidRPr="007D3B31">
        <w:rPr>
          <w:rFonts w:ascii="Titillium" w:hAnsi="Titillium"/>
          <w:sz w:val="20"/>
          <w:szCs w:val="20"/>
        </w:rPr>
        <w:t>declinazione in base allo scopo della norma e alle caratteristiche dimensionali di ciascun ente.</w:t>
      </w:r>
      <w:r w:rsidR="00D25F06" w:rsidRPr="007D3B31">
        <w:rPr>
          <w:rFonts w:ascii="Titillium" w:hAnsi="Titillium"/>
          <w:sz w:val="20"/>
          <w:szCs w:val="20"/>
        </w:rPr>
        <w:t xml:space="preserve"> Ne consegue che </w:t>
      </w:r>
      <w:r w:rsidR="00655239" w:rsidRPr="007D3B31">
        <w:rPr>
          <w:rFonts w:ascii="Titillium" w:hAnsi="Titillium"/>
          <w:sz w:val="20"/>
          <w:szCs w:val="20"/>
        </w:rPr>
        <w:t>i piccoli comuni</w:t>
      </w:r>
      <w:r w:rsidR="00D25F06" w:rsidRPr="007D3B31">
        <w:rPr>
          <w:rFonts w:ascii="Titillium" w:hAnsi="Titillium"/>
          <w:sz w:val="20"/>
          <w:szCs w:val="20"/>
        </w:rPr>
        <w:t xml:space="preserve"> fissano i </w:t>
      </w:r>
      <w:r w:rsidR="000E10A2" w:rsidRPr="007D3B31">
        <w:rPr>
          <w:rFonts w:ascii="Titillium" w:hAnsi="Titillium"/>
          <w:sz w:val="20"/>
          <w:szCs w:val="20"/>
        </w:rPr>
        <w:t>termini</w:t>
      </w:r>
      <w:r w:rsidR="00D25F06" w:rsidRPr="007D3B31">
        <w:rPr>
          <w:rFonts w:ascii="Titillium" w:hAnsi="Titillium"/>
          <w:sz w:val="20"/>
          <w:szCs w:val="20"/>
        </w:rPr>
        <w:t xml:space="preserve"> di pubblicazione</w:t>
      </w:r>
      <w:r w:rsidR="000E10A2" w:rsidRPr="007D3B31">
        <w:rPr>
          <w:rFonts w:ascii="Titillium" w:hAnsi="Titillium"/>
          <w:sz w:val="20"/>
          <w:szCs w:val="20"/>
        </w:rPr>
        <w:t xml:space="preserve"> secondo principi di ragionevolezza e responsabilità, idonei ad assicurare,</w:t>
      </w:r>
      <w:r w:rsidR="00D25F06" w:rsidRPr="007D3B31">
        <w:rPr>
          <w:rFonts w:ascii="Titillium" w:hAnsi="Titillium"/>
          <w:sz w:val="20"/>
          <w:szCs w:val="20"/>
        </w:rPr>
        <w:t xml:space="preserve"> </w:t>
      </w:r>
      <w:r w:rsidR="000E10A2" w:rsidRPr="007D3B31">
        <w:rPr>
          <w:rFonts w:ascii="Titillium" w:hAnsi="Titillium"/>
          <w:sz w:val="20"/>
          <w:szCs w:val="20"/>
        </w:rPr>
        <w:t>nel rispetto dello scopo della normativa sulla trasparenza, la cont</w:t>
      </w:r>
      <w:r w:rsidR="00D25F06" w:rsidRPr="007D3B31">
        <w:rPr>
          <w:rFonts w:ascii="Titillium" w:hAnsi="Titillium"/>
          <w:sz w:val="20"/>
          <w:szCs w:val="20"/>
        </w:rPr>
        <w:t xml:space="preserve">inuità e la celerità della pubblicazione </w:t>
      </w:r>
      <w:r w:rsidR="000E10A2" w:rsidRPr="007D3B31">
        <w:rPr>
          <w:rFonts w:ascii="Titillium" w:hAnsi="Titillium"/>
          <w:sz w:val="20"/>
          <w:szCs w:val="20"/>
        </w:rPr>
        <w:t xml:space="preserve">dei dati. I termini così definiti vanno indicati nella sezione del PTPC </w:t>
      </w:r>
      <w:r w:rsidR="009F0AF6" w:rsidRPr="007D3B31">
        <w:rPr>
          <w:rFonts w:ascii="Titillium" w:hAnsi="Titillium"/>
          <w:sz w:val="20"/>
          <w:szCs w:val="20"/>
        </w:rPr>
        <w:t>dedicata alla trasparenza</w:t>
      </w:r>
      <w:r w:rsidR="00C57C02" w:rsidRPr="007D3B31">
        <w:rPr>
          <w:rFonts w:ascii="Titillium" w:hAnsi="Titillium"/>
          <w:sz w:val="20"/>
          <w:szCs w:val="20"/>
        </w:rPr>
        <w:t xml:space="preserve"> </w:t>
      </w:r>
      <w:r w:rsidR="00C57C02" w:rsidRPr="007D3B31">
        <w:rPr>
          <w:rFonts w:ascii="Titillium" w:hAnsi="Titillium"/>
          <w:i/>
          <w:sz w:val="20"/>
          <w:szCs w:val="20"/>
        </w:rPr>
        <w:t xml:space="preserve">(cfr. </w:t>
      </w:r>
      <w:hyperlink r:id="rId9" w:history="1">
        <w:r w:rsidR="00C57C02" w:rsidRPr="007D3B31">
          <w:rPr>
            <w:rStyle w:val="Collegamentoipertestuale"/>
            <w:rFonts w:ascii="Titillium" w:hAnsi="Titillium"/>
            <w:i/>
            <w:color w:val="auto"/>
            <w:sz w:val="20"/>
            <w:szCs w:val="20"/>
          </w:rPr>
          <w:t>Aggiornamento 2018 al Piano Nazionale Anticorruzione</w:t>
        </w:r>
      </w:hyperlink>
      <w:r w:rsidR="00C57C02" w:rsidRPr="007D3B31">
        <w:rPr>
          <w:rFonts w:ascii="Titillium" w:hAnsi="Titillium"/>
          <w:sz w:val="20"/>
          <w:szCs w:val="20"/>
        </w:rPr>
        <w:t xml:space="preserve">, </w:t>
      </w:r>
      <w:r w:rsidR="00C37581" w:rsidRPr="007D3B31">
        <w:rPr>
          <w:rFonts w:ascii="Titillium" w:hAnsi="Titillium"/>
          <w:i/>
          <w:sz w:val="20"/>
          <w:szCs w:val="20"/>
        </w:rPr>
        <w:t xml:space="preserve">Approfondimento IV, </w:t>
      </w:r>
      <w:r w:rsidR="00C57C02" w:rsidRPr="007D3B31">
        <w:rPr>
          <w:rFonts w:ascii="Titillium" w:hAnsi="Titillium"/>
          <w:i/>
          <w:sz w:val="20"/>
          <w:szCs w:val="20"/>
        </w:rPr>
        <w:t>Semplificazioni per i piccoli Comuni</w:t>
      </w:r>
      <w:r w:rsidR="00C57C02" w:rsidRPr="007D3B31">
        <w:rPr>
          <w:rFonts w:ascii="Titillium" w:hAnsi="Titillium"/>
          <w:sz w:val="20"/>
          <w:szCs w:val="20"/>
        </w:rPr>
        <w:t xml:space="preserve">, § </w:t>
      </w:r>
      <w:r w:rsidR="00C1146E" w:rsidRPr="007D3B31">
        <w:rPr>
          <w:rFonts w:ascii="Titillium" w:hAnsi="Titillium"/>
          <w:i/>
          <w:sz w:val="20"/>
          <w:szCs w:val="20"/>
        </w:rPr>
        <w:t>4.</w:t>
      </w:r>
      <w:r w:rsidR="00C57C02" w:rsidRPr="007D3B31">
        <w:rPr>
          <w:rFonts w:ascii="Titillium" w:hAnsi="Titillium"/>
          <w:i/>
          <w:sz w:val="20"/>
          <w:szCs w:val="20"/>
        </w:rPr>
        <w:t>).</w:t>
      </w:r>
      <w:r w:rsidR="00A773F9" w:rsidRPr="007D3B31">
        <w:rPr>
          <w:rFonts w:ascii="Titillium" w:hAnsi="Titillium"/>
          <w:sz w:val="20"/>
          <w:szCs w:val="20"/>
        </w:rPr>
        <w:t xml:space="preserve"> Il principio è applicabile anche agli enti di piccole dimensioni organizzative.</w:t>
      </w:r>
    </w:p>
    <w:p w:rsidR="002A42EC" w:rsidRPr="007D3B31" w:rsidRDefault="002A42EC" w:rsidP="002A42EC">
      <w:pPr>
        <w:jc w:val="both"/>
        <w:rPr>
          <w:rFonts w:ascii="Titillium" w:hAnsi="Titillium"/>
          <w:sz w:val="20"/>
          <w:szCs w:val="20"/>
        </w:rPr>
      </w:pPr>
      <w:r w:rsidRPr="007D3B31">
        <w:rPr>
          <w:rFonts w:ascii="Titillium" w:hAnsi="Titillium"/>
          <w:sz w:val="20"/>
          <w:szCs w:val="20"/>
        </w:rPr>
        <w:t>In via generale</w:t>
      </w:r>
      <w:r w:rsidR="00130A06" w:rsidRPr="007D3B31">
        <w:rPr>
          <w:rFonts w:ascii="Titillium" w:hAnsi="Titillium"/>
          <w:sz w:val="20"/>
          <w:szCs w:val="20"/>
        </w:rPr>
        <w:t xml:space="preserve">, giova ricordare </w:t>
      </w:r>
      <w:r w:rsidR="00C37581" w:rsidRPr="007D3B31">
        <w:rPr>
          <w:rFonts w:ascii="Titillium" w:hAnsi="Titillium"/>
          <w:sz w:val="20"/>
          <w:szCs w:val="20"/>
        </w:rPr>
        <w:t xml:space="preserve">che tutti i soggetti sottoposti agli obblighi di pubblicazioni </w:t>
      </w:r>
      <w:r w:rsidR="00130A06" w:rsidRPr="007D3B31">
        <w:rPr>
          <w:rFonts w:ascii="Titillium" w:hAnsi="Titillium"/>
          <w:sz w:val="20"/>
          <w:szCs w:val="20"/>
        </w:rPr>
        <w:t>d</w:t>
      </w:r>
      <w:r w:rsidR="00C37581" w:rsidRPr="007D3B31">
        <w:rPr>
          <w:rFonts w:ascii="Titillium" w:hAnsi="Titillium"/>
          <w:sz w:val="20"/>
          <w:szCs w:val="20"/>
        </w:rPr>
        <w:t>el d.lgs. 33/</w:t>
      </w:r>
      <w:r w:rsidR="00130A06" w:rsidRPr="007D3B31">
        <w:rPr>
          <w:rFonts w:ascii="Titillium" w:hAnsi="Titillium"/>
          <w:sz w:val="20"/>
          <w:szCs w:val="20"/>
        </w:rPr>
        <w:t>2013</w:t>
      </w:r>
      <w:r w:rsidR="00C37581" w:rsidRPr="007D3B31">
        <w:rPr>
          <w:rFonts w:ascii="Titillium" w:hAnsi="Titillium"/>
          <w:sz w:val="20"/>
          <w:szCs w:val="20"/>
        </w:rPr>
        <w:t xml:space="preserve"> </w:t>
      </w:r>
      <w:r w:rsidR="00130A06" w:rsidRPr="007D3B31">
        <w:rPr>
          <w:rFonts w:ascii="Titillium" w:hAnsi="Titillium"/>
          <w:sz w:val="20"/>
          <w:szCs w:val="20"/>
        </w:rPr>
        <w:t>indicano, nella sezione del PTPCT dedicata alla programmazione della trasparenza,</w:t>
      </w:r>
      <w:r w:rsidR="00C37581" w:rsidRPr="007D3B31">
        <w:rPr>
          <w:rFonts w:ascii="Titillium" w:hAnsi="Titillium"/>
          <w:sz w:val="20"/>
          <w:szCs w:val="20"/>
        </w:rPr>
        <w:t xml:space="preserve"> i termini entro i quali ciascun dato</w:t>
      </w:r>
      <w:r w:rsidR="00130A06" w:rsidRPr="007D3B31">
        <w:rPr>
          <w:rFonts w:ascii="Titillium" w:hAnsi="Titillium"/>
          <w:sz w:val="20"/>
          <w:szCs w:val="20"/>
        </w:rPr>
        <w:t xml:space="preserve"> è pubblicato tenendo conto della propria organizzazione e del</w:t>
      </w:r>
      <w:r w:rsidRPr="007D3B31">
        <w:rPr>
          <w:rFonts w:ascii="Titillium" w:hAnsi="Titillium"/>
          <w:sz w:val="20"/>
          <w:szCs w:val="20"/>
        </w:rPr>
        <w:t>la periodicità dell’ag</w:t>
      </w:r>
      <w:r w:rsidR="00130A06" w:rsidRPr="007D3B31">
        <w:rPr>
          <w:rFonts w:ascii="Titillium" w:hAnsi="Titillium"/>
          <w:sz w:val="20"/>
          <w:szCs w:val="20"/>
        </w:rPr>
        <w:t xml:space="preserve">giornamento fissato dalle norme (cfr. </w:t>
      </w:r>
      <w:hyperlink r:id="rId10" w:history="1">
        <w:r w:rsidR="0070558F" w:rsidRPr="007D3B31">
          <w:rPr>
            <w:rStyle w:val="Collegamentoipertestuale"/>
            <w:rFonts w:ascii="Titillium" w:hAnsi="Titillium"/>
            <w:color w:val="auto"/>
            <w:sz w:val="20"/>
            <w:szCs w:val="20"/>
          </w:rPr>
          <w:t>delibera ANAC 1310/2016, § 2</w:t>
        </w:r>
      </w:hyperlink>
      <w:r w:rsidR="0070558F" w:rsidRPr="007D3B31">
        <w:rPr>
          <w:rFonts w:ascii="Titillium" w:hAnsi="Titillium"/>
          <w:sz w:val="20"/>
          <w:szCs w:val="20"/>
        </w:rPr>
        <w:t xml:space="preserve"> e </w:t>
      </w:r>
      <w:hyperlink r:id="rId11" w:anchor="1" w:history="1">
        <w:r w:rsidR="006F6203" w:rsidRPr="007D3B31">
          <w:rPr>
            <w:rStyle w:val="Collegamentoipertestuale"/>
            <w:rFonts w:ascii="Titillium" w:hAnsi="Titillium"/>
            <w:color w:val="auto"/>
            <w:sz w:val="20"/>
            <w:szCs w:val="20"/>
          </w:rPr>
          <w:t>FAQ in materia di trasparenza</w:t>
        </w:r>
      </w:hyperlink>
      <w:r w:rsidR="006F6203" w:rsidRPr="007D3B31">
        <w:rPr>
          <w:rFonts w:ascii="Titillium" w:hAnsi="Titillium"/>
          <w:sz w:val="20"/>
          <w:szCs w:val="20"/>
        </w:rPr>
        <w:t xml:space="preserve"> n. 1.20)</w:t>
      </w:r>
      <w:r w:rsidR="00130A06" w:rsidRPr="007D3B31">
        <w:rPr>
          <w:rFonts w:ascii="Titillium" w:hAnsi="Titillium"/>
          <w:sz w:val="20"/>
          <w:szCs w:val="20"/>
        </w:rPr>
        <w:t>.</w:t>
      </w:r>
    </w:p>
    <w:p w:rsidR="005118D5" w:rsidRDefault="00B32854" w:rsidP="00A83E4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Per quanto attiene la durata dell’obbligo di pubblicazione, l’art. 8,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Pr="00452936">
        <w:rPr>
          <w:rFonts w:ascii="Titillium" w:hAnsi="Titillium"/>
          <w:sz w:val="20"/>
          <w:szCs w:val="20"/>
        </w:rPr>
        <w:t xml:space="preserve"> 3, del d.lgs</w:t>
      </w:r>
      <w:r w:rsidR="004B532A" w:rsidRPr="00452936">
        <w:rPr>
          <w:rFonts w:ascii="Titillium" w:hAnsi="Titillium"/>
          <w:sz w:val="20"/>
          <w:szCs w:val="20"/>
        </w:rPr>
        <w:t>.</w:t>
      </w:r>
      <w:r w:rsidRPr="00452936">
        <w:rPr>
          <w:rFonts w:ascii="Titillium" w:hAnsi="Titillium"/>
          <w:sz w:val="20"/>
          <w:szCs w:val="20"/>
        </w:rPr>
        <w:t xml:space="preserve"> n. 33/2013</w:t>
      </w:r>
      <w:r w:rsidR="00154BFC"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sz w:val="20"/>
          <w:szCs w:val="20"/>
        </w:rPr>
        <w:t>dispone che i dati, le informazioni e i document</w:t>
      </w:r>
      <w:r w:rsidR="00154BFC" w:rsidRPr="00452936">
        <w:rPr>
          <w:rFonts w:ascii="Titillium" w:hAnsi="Titillium"/>
          <w:sz w:val="20"/>
          <w:szCs w:val="20"/>
        </w:rPr>
        <w:t>i</w:t>
      </w:r>
      <w:r w:rsidRPr="00452936">
        <w:rPr>
          <w:rFonts w:ascii="Titillium" w:hAnsi="Titillium"/>
          <w:sz w:val="20"/>
          <w:szCs w:val="20"/>
        </w:rPr>
        <w:t xml:space="preserve"> oggetto di pubblicazione obbligatoria ai</w:t>
      </w:r>
      <w:r w:rsidR="00154BFC" w:rsidRPr="00452936">
        <w:rPr>
          <w:rFonts w:ascii="Titillium" w:hAnsi="Titillium"/>
          <w:sz w:val="20"/>
          <w:szCs w:val="20"/>
        </w:rPr>
        <w:t xml:space="preserve"> s</w:t>
      </w:r>
      <w:r w:rsidRPr="00452936">
        <w:rPr>
          <w:rFonts w:ascii="Titillium" w:hAnsi="Titillium"/>
          <w:sz w:val="20"/>
          <w:szCs w:val="20"/>
        </w:rPr>
        <w:t>ensi della normativa vigente, s</w:t>
      </w:r>
      <w:r w:rsidR="00731381" w:rsidRPr="00452936">
        <w:rPr>
          <w:rFonts w:ascii="Titillium" w:hAnsi="Titillium"/>
          <w:sz w:val="20"/>
          <w:szCs w:val="20"/>
        </w:rPr>
        <w:t>ia</w:t>
      </w:r>
      <w:r w:rsidRPr="00452936">
        <w:rPr>
          <w:rFonts w:ascii="Titillium" w:hAnsi="Titillium"/>
          <w:sz w:val="20"/>
          <w:szCs w:val="20"/>
        </w:rPr>
        <w:t>no pubb</w:t>
      </w:r>
      <w:r w:rsidR="00154BFC" w:rsidRPr="00452936">
        <w:rPr>
          <w:rFonts w:ascii="Titillium" w:hAnsi="Titillium"/>
          <w:sz w:val="20"/>
          <w:szCs w:val="20"/>
        </w:rPr>
        <w:t>l</w:t>
      </w:r>
      <w:r w:rsidRPr="00452936">
        <w:rPr>
          <w:rFonts w:ascii="Titillium" w:hAnsi="Titillium"/>
          <w:sz w:val="20"/>
          <w:szCs w:val="20"/>
        </w:rPr>
        <w:t xml:space="preserve">icati </w:t>
      </w:r>
    </w:p>
    <w:p w:rsidR="005118D5" w:rsidRDefault="005118D5" w:rsidP="00A83E4A">
      <w:pPr>
        <w:jc w:val="both"/>
        <w:rPr>
          <w:rFonts w:ascii="Titillium" w:hAnsi="Titillium"/>
          <w:sz w:val="20"/>
          <w:szCs w:val="20"/>
        </w:rPr>
      </w:pPr>
    </w:p>
    <w:p w:rsidR="00731381" w:rsidRPr="00452936" w:rsidRDefault="00B32854" w:rsidP="00A83E4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per un periodo di </w:t>
      </w:r>
      <w:r w:rsidR="00B74A15" w:rsidRPr="00452936">
        <w:rPr>
          <w:rFonts w:ascii="Titillium" w:hAnsi="Titillium"/>
          <w:sz w:val="20"/>
          <w:szCs w:val="20"/>
        </w:rPr>
        <w:t>cinque</w:t>
      </w:r>
      <w:r w:rsidRPr="00452936">
        <w:rPr>
          <w:rFonts w:ascii="Titillium" w:hAnsi="Titillium"/>
          <w:sz w:val="20"/>
          <w:szCs w:val="20"/>
        </w:rPr>
        <w:t xml:space="preserve"> anni, decorrenti dal 1° gennaio dell’anno successivo a quello da cui decorre l’obbligo di pubblicazione, e comunque fino a che gli atti pubblicati producono i loro effe</w:t>
      </w:r>
      <w:r w:rsidR="00154BFC" w:rsidRPr="00452936">
        <w:rPr>
          <w:rFonts w:ascii="Titillium" w:hAnsi="Titillium"/>
          <w:sz w:val="20"/>
          <w:szCs w:val="20"/>
        </w:rPr>
        <w:t xml:space="preserve">tti. </w:t>
      </w:r>
      <w:r w:rsidR="00D92758" w:rsidRPr="00452936">
        <w:rPr>
          <w:rFonts w:ascii="Titillium" w:hAnsi="Titillium"/>
          <w:sz w:val="20"/>
          <w:szCs w:val="20"/>
        </w:rPr>
        <w:t xml:space="preserve">Decorsi detti termini, i relativi dati e documenti sono accessibili ai sensi dell’art. 5 dello stesso d.lgs. 33/2013. </w:t>
      </w:r>
    </w:p>
    <w:p w:rsidR="008770DA" w:rsidRDefault="003C16E2" w:rsidP="00A8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T</w:t>
      </w:r>
      <w:r w:rsidR="00731381" w:rsidRPr="00452936">
        <w:rPr>
          <w:rFonts w:ascii="Titillium" w:hAnsi="Titillium"/>
          <w:sz w:val="20"/>
          <w:szCs w:val="20"/>
        </w:rPr>
        <w:t>uttavia,</w:t>
      </w:r>
      <w:r w:rsidRPr="00452936">
        <w:rPr>
          <w:rFonts w:ascii="Titillium" w:hAnsi="Titillium"/>
          <w:sz w:val="20"/>
          <w:szCs w:val="20"/>
        </w:rPr>
        <w:t xml:space="preserve"> sono fatti salvi</w:t>
      </w:r>
      <w:r w:rsidR="00731381" w:rsidRPr="00452936">
        <w:rPr>
          <w:rFonts w:ascii="Titillium" w:hAnsi="Titillium"/>
          <w:sz w:val="20"/>
          <w:szCs w:val="20"/>
        </w:rPr>
        <w:t xml:space="preserve"> </w:t>
      </w:r>
      <w:r w:rsidR="00B32854" w:rsidRPr="00452936">
        <w:rPr>
          <w:rFonts w:ascii="Titillium" w:hAnsi="Titillium"/>
          <w:sz w:val="20"/>
          <w:szCs w:val="20"/>
        </w:rPr>
        <w:t>i diversi te</w:t>
      </w:r>
      <w:r w:rsidR="00731381" w:rsidRPr="00452936">
        <w:rPr>
          <w:rFonts w:ascii="Titillium" w:hAnsi="Titillium"/>
          <w:sz w:val="20"/>
          <w:szCs w:val="20"/>
        </w:rPr>
        <w:t>r</w:t>
      </w:r>
      <w:r w:rsidR="00B32854" w:rsidRPr="00452936">
        <w:rPr>
          <w:rFonts w:ascii="Titillium" w:hAnsi="Titillium"/>
          <w:sz w:val="20"/>
          <w:szCs w:val="20"/>
        </w:rPr>
        <w:t>mini previsti d</w:t>
      </w:r>
      <w:r w:rsidR="00154BFC" w:rsidRPr="00452936">
        <w:rPr>
          <w:rFonts w:ascii="Titillium" w:hAnsi="Titillium"/>
          <w:sz w:val="20"/>
          <w:szCs w:val="20"/>
        </w:rPr>
        <w:t xml:space="preserve">all’art. 14,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154BFC" w:rsidRPr="00452936">
        <w:rPr>
          <w:rFonts w:ascii="Titillium" w:hAnsi="Titillium"/>
          <w:sz w:val="20"/>
          <w:szCs w:val="20"/>
        </w:rPr>
        <w:t xml:space="preserve"> 2</w:t>
      </w:r>
      <w:r w:rsidR="00D96A3C" w:rsidRPr="00452936">
        <w:rPr>
          <w:rFonts w:ascii="Titillium" w:hAnsi="Titillium"/>
          <w:sz w:val="20"/>
          <w:szCs w:val="20"/>
        </w:rPr>
        <w:t>,</w:t>
      </w:r>
      <w:r w:rsidR="00154BFC" w:rsidRPr="00452936">
        <w:rPr>
          <w:rFonts w:ascii="Titillium" w:hAnsi="Titillium"/>
          <w:sz w:val="20"/>
          <w:szCs w:val="20"/>
        </w:rPr>
        <w:t xml:space="preserve"> </w:t>
      </w:r>
      <w:r w:rsidR="0066174D" w:rsidRPr="00452936">
        <w:rPr>
          <w:rFonts w:ascii="Titillium" w:hAnsi="Titillium"/>
          <w:sz w:val="20"/>
          <w:szCs w:val="20"/>
        </w:rPr>
        <w:t>e dall’art. 15, 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66174D" w:rsidRPr="00452936">
        <w:rPr>
          <w:rFonts w:ascii="Titillium" w:hAnsi="Titillium"/>
          <w:sz w:val="20"/>
          <w:szCs w:val="20"/>
        </w:rPr>
        <w:t>. 4,</w:t>
      </w:r>
      <w:r w:rsidR="001E3F98" w:rsidRPr="00452936">
        <w:rPr>
          <w:rFonts w:ascii="Titillium" w:hAnsi="Titillium"/>
          <w:sz w:val="20"/>
          <w:szCs w:val="20"/>
        </w:rPr>
        <w:t xml:space="preserve"> del d.lgs. n. 33/2013</w:t>
      </w:r>
      <w:r w:rsidR="0066174D" w:rsidRPr="00452936">
        <w:rPr>
          <w:rFonts w:ascii="Titillium" w:hAnsi="Titillium"/>
          <w:sz w:val="20"/>
          <w:szCs w:val="20"/>
        </w:rPr>
        <w:t xml:space="preserve"> in relazione ai dati concernenti i componenti degli organi di indirizzo politico e i titolari di incarichi di collaborazione o consulenza, da pubblicare entro tre mesi dalla elezione, dalla nomina o dal conferimento e per i tre anni successivi dalla cessazione del mandato o dell’incarico. </w:t>
      </w:r>
    </w:p>
    <w:p w:rsidR="00F96187" w:rsidRPr="00452936" w:rsidRDefault="00F96187" w:rsidP="00A8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</w:p>
    <w:p w:rsidR="00ED2D6B" w:rsidRPr="00452936" w:rsidRDefault="00ED2D6B" w:rsidP="00F96187">
      <w:pPr>
        <w:pStyle w:val="Titolo1"/>
        <w:numPr>
          <w:ilvl w:val="0"/>
          <w:numId w:val="14"/>
        </w:numPr>
        <w:spacing w:before="200"/>
        <w:jc w:val="both"/>
        <w:rPr>
          <w:rFonts w:ascii="Titillium" w:hAnsi="Titillium" w:cs="Times New Roman"/>
          <w:color w:val="auto"/>
          <w:sz w:val="20"/>
          <w:szCs w:val="20"/>
        </w:rPr>
      </w:pPr>
      <w:bookmarkStart w:id="3" w:name="_Toc65656155"/>
      <w:r w:rsidRPr="00452936">
        <w:rPr>
          <w:rFonts w:ascii="Titillium" w:hAnsi="Titillium" w:cs="Times New Roman"/>
          <w:color w:val="auto"/>
          <w:sz w:val="20"/>
          <w:szCs w:val="20"/>
        </w:rPr>
        <w:t>Formato e dati di tipo aperto</w:t>
      </w:r>
      <w:bookmarkEnd w:id="3"/>
      <w:r w:rsidR="00731381" w:rsidRPr="00452936">
        <w:rPr>
          <w:rFonts w:ascii="Titillium" w:hAnsi="Titillium" w:cs="Times New Roman"/>
          <w:color w:val="auto"/>
          <w:sz w:val="20"/>
          <w:szCs w:val="20"/>
        </w:rPr>
        <w:t xml:space="preserve"> </w:t>
      </w:r>
    </w:p>
    <w:p w:rsidR="00B54B1B" w:rsidRPr="00452936" w:rsidRDefault="00B54B1B" w:rsidP="004B532A">
      <w:pPr>
        <w:autoSpaceDE w:val="0"/>
        <w:autoSpaceDN w:val="0"/>
        <w:adjustRightInd w:val="0"/>
        <w:spacing w:before="20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La legge n. 190/2012 contiene riferimenti al formato aperto </w:t>
      </w:r>
      <w:r w:rsidR="00B74A15" w:rsidRPr="00452936">
        <w:rPr>
          <w:rFonts w:ascii="Titillium" w:hAnsi="Titillium"/>
          <w:sz w:val="20"/>
          <w:szCs w:val="20"/>
        </w:rPr>
        <w:t>(art. 1,</w:t>
      </w:r>
      <w:r w:rsidR="00A83E4A" w:rsidRPr="00452936">
        <w:rPr>
          <w:rFonts w:ascii="Titillium" w:hAnsi="Titillium"/>
          <w:sz w:val="20"/>
          <w:szCs w:val="20"/>
        </w:rPr>
        <w:t xml:space="preserve"> co</w:t>
      </w:r>
      <w:r w:rsidR="00B74A15" w:rsidRPr="00452936">
        <w:rPr>
          <w:rFonts w:ascii="Titillium" w:hAnsi="Titillium"/>
          <w:sz w:val="20"/>
          <w:szCs w:val="20"/>
        </w:rPr>
        <w:t xml:space="preserve">. 32, </w:t>
      </w:r>
      <w:r w:rsidR="00A83E4A" w:rsidRPr="00452936">
        <w:rPr>
          <w:rFonts w:ascii="Titillium" w:hAnsi="Titillium"/>
          <w:sz w:val="20"/>
          <w:szCs w:val="20"/>
        </w:rPr>
        <w:t xml:space="preserve">co. </w:t>
      </w:r>
      <w:r w:rsidR="00B74A15" w:rsidRPr="00452936">
        <w:rPr>
          <w:rFonts w:ascii="Titillium" w:hAnsi="Titillium"/>
          <w:sz w:val="20"/>
          <w:szCs w:val="20"/>
        </w:rPr>
        <w:t>35 e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A83E4A" w:rsidRPr="00452936">
        <w:rPr>
          <w:rFonts w:ascii="Titillium" w:hAnsi="Titillium"/>
          <w:sz w:val="20"/>
          <w:szCs w:val="20"/>
        </w:rPr>
        <w:t xml:space="preserve">co. </w:t>
      </w:r>
      <w:r w:rsidRPr="00452936">
        <w:rPr>
          <w:rFonts w:ascii="Titillium" w:hAnsi="Titillium"/>
          <w:sz w:val="20"/>
          <w:szCs w:val="20"/>
        </w:rPr>
        <w:t xml:space="preserve">42). In particolare, il </w:t>
      </w:r>
      <w:r w:rsidR="00EA5E1D" w:rsidRPr="00452936">
        <w:rPr>
          <w:rFonts w:ascii="Titillium" w:hAnsi="Titillium"/>
          <w:sz w:val="20"/>
          <w:szCs w:val="20"/>
        </w:rPr>
        <w:t>c</w:t>
      </w:r>
      <w:r w:rsidR="00A83E4A" w:rsidRPr="00452936">
        <w:rPr>
          <w:rFonts w:ascii="Titillium" w:hAnsi="Titillium"/>
          <w:sz w:val="20"/>
          <w:szCs w:val="20"/>
        </w:rPr>
        <w:t>o</w:t>
      </w:r>
      <w:r w:rsidR="00EA5E1D" w:rsidRPr="00452936">
        <w:rPr>
          <w:rFonts w:ascii="Titillium" w:hAnsi="Titillium"/>
          <w:sz w:val="20"/>
          <w:szCs w:val="20"/>
        </w:rPr>
        <w:t>.</w:t>
      </w:r>
      <w:r w:rsidR="00061838" w:rsidRPr="00452936">
        <w:rPr>
          <w:rFonts w:ascii="Titillium" w:hAnsi="Titillium"/>
          <w:sz w:val="20"/>
          <w:szCs w:val="20"/>
        </w:rPr>
        <w:t xml:space="preserve"> 35 stabilisce </w:t>
      </w:r>
      <w:r w:rsidR="003E0E78" w:rsidRPr="00452936">
        <w:rPr>
          <w:rFonts w:ascii="Titillium" w:hAnsi="Titillium"/>
          <w:sz w:val="20"/>
          <w:szCs w:val="20"/>
        </w:rPr>
        <w:t>che «</w:t>
      </w:r>
      <w:r w:rsidRPr="00452936">
        <w:rPr>
          <w:rFonts w:ascii="Titillium" w:hAnsi="Titillium"/>
          <w:i/>
          <w:sz w:val="20"/>
          <w:szCs w:val="20"/>
        </w:rPr>
        <w:t xml:space="preserve">per formati di dati aperti si devono intendere almeno i dati resi disponibili e fruibili on line in </w:t>
      </w:r>
      <w:r w:rsidRPr="00452936">
        <w:rPr>
          <w:rFonts w:ascii="Titillium" w:hAnsi="Titillium"/>
          <w:b/>
          <w:i/>
          <w:sz w:val="20"/>
          <w:szCs w:val="20"/>
        </w:rPr>
        <w:t>formati non proprietari</w:t>
      </w:r>
      <w:r w:rsidRPr="00452936">
        <w:rPr>
          <w:rFonts w:ascii="Titillium" w:hAnsi="Titillium"/>
          <w:i/>
          <w:sz w:val="20"/>
          <w:szCs w:val="20"/>
        </w:rPr>
        <w:t>, a condizioni tali da permetterne il più ampio riutilizzo anche a fini statistici e la ridistribuzione senza ulteriori restrizioni d’uso, di riuso o di diffusione diverse dall’obbligo di citare la fonte e di rispettarne l’integrità</w:t>
      </w:r>
      <w:r w:rsidR="003E0E78" w:rsidRPr="00452936">
        <w:rPr>
          <w:rFonts w:ascii="Titillium" w:hAnsi="Titillium"/>
          <w:sz w:val="20"/>
          <w:szCs w:val="20"/>
        </w:rPr>
        <w:t>»</w:t>
      </w:r>
      <w:r w:rsidRPr="00452936">
        <w:rPr>
          <w:rFonts w:ascii="Titillium" w:hAnsi="Titillium"/>
          <w:sz w:val="20"/>
          <w:szCs w:val="20"/>
        </w:rPr>
        <w:t>.</w:t>
      </w:r>
    </w:p>
    <w:p w:rsidR="002A0393" w:rsidRPr="00452936" w:rsidRDefault="00B54B1B" w:rsidP="004B532A">
      <w:pPr>
        <w:autoSpaceDE w:val="0"/>
        <w:autoSpaceDN w:val="0"/>
        <w:adjustRightInd w:val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L’Agenzia per l’Italia Digitale</w:t>
      </w:r>
      <w:r w:rsidRPr="00452936">
        <w:rPr>
          <w:rStyle w:val="field-content"/>
          <w:rFonts w:ascii="Titillium" w:hAnsi="Titillium" w:cs="Helvetica"/>
          <w:color w:val="333333"/>
          <w:sz w:val="20"/>
          <w:szCs w:val="20"/>
        </w:rPr>
        <w:t xml:space="preserve"> </w:t>
      </w:r>
      <w:r w:rsidR="001275DC" w:rsidRPr="00452936">
        <w:rPr>
          <w:rFonts w:ascii="Titillium" w:hAnsi="Titillium"/>
          <w:sz w:val="20"/>
          <w:szCs w:val="20"/>
        </w:rPr>
        <w:t>istruisce e</w:t>
      </w:r>
      <w:r w:rsidRPr="00452936">
        <w:rPr>
          <w:rFonts w:ascii="Titillium" w:hAnsi="Titillium"/>
          <w:sz w:val="20"/>
          <w:szCs w:val="20"/>
        </w:rPr>
        <w:t xml:space="preserve"> aggiorna, con periodicità almeno annuale, un repertorio dei formati aperti utilizzabili nelle pubbliche amministrazioni</w:t>
      </w:r>
      <w:r w:rsidR="00D92758" w:rsidRPr="00452936">
        <w:rPr>
          <w:rStyle w:val="Rimandonotaapidipagina"/>
          <w:rFonts w:ascii="Titillium" w:hAnsi="Titillium"/>
          <w:sz w:val="20"/>
          <w:szCs w:val="20"/>
        </w:rPr>
        <w:footnoteReference w:id="1"/>
      </w:r>
      <w:r w:rsidR="00D92758" w:rsidRPr="00452936">
        <w:rPr>
          <w:rFonts w:ascii="Titillium" w:hAnsi="Titillium"/>
          <w:sz w:val="20"/>
          <w:szCs w:val="20"/>
        </w:rPr>
        <w:t>.</w:t>
      </w:r>
      <w:r w:rsidR="00A83E4A" w:rsidRPr="00452936">
        <w:rPr>
          <w:rFonts w:ascii="Titillium" w:hAnsi="Titillium"/>
          <w:sz w:val="20"/>
          <w:szCs w:val="20"/>
        </w:rPr>
        <w:t xml:space="preserve"> </w:t>
      </w:r>
      <w:r w:rsidR="002A0393" w:rsidRPr="00452936">
        <w:rPr>
          <w:rFonts w:ascii="Titillium" w:hAnsi="Titillium"/>
          <w:sz w:val="20"/>
          <w:szCs w:val="20"/>
        </w:rPr>
        <w:t xml:space="preserve">Da questo repertorio sono esclusi i formati proprietari, </w:t>
      </w:r>
      <w:r w:rsidR="00FE19A0" w:rsidRPr="00452936">
        <w:rPr>
          <w:rFonts w:ascii="Titillium" w:hAnsi="Titillium"/>
          <w:sz w:val="20"/>
          <w:szCs w:val="20"/>
        </w:rPr>
        <w:t xml:space="preserve">in sostituzione dei quali </w:t>
      </w:r>
      <w:r w:rsidR="002A0393" w:rsidRPr="00452936">
        <w:rPr>
          <w:rFonts w:ascii="Titillium" w:hAnsi="Titillium"/>
          <w:sz w:val="20"/>
          <w:szCs w:val="20"/>
        </w:rPr>
        <w:t xml:space="preserve">è possibile utilizzare sia software Open Source (quali ad esempio </w:t>
      </w:r>
      <w:r w:rsidR="002A0393" w:rsidRPr="00452936">
        <w:rPr>
          <w:rFonts w:ascii="Titillium" w:hAnsi="Titillium"/>
          <w:i/>
          <w:sz w:val="20"/>
          <w:szCs w:val="20"/>
        </w:rPr>
        <w:t>OpenOffice</w:t>
      </w:r>
      <w:r w:rsidR="002A0393" w:rsidRPr="00452936">
        <w:rPr>
          <w:rFonts w:ascii="Titillium" w:hAnsi="Titillium"/>
          <w:sz w:val="20"/>
          <w:szCs w:val="20"/>
        </w:rPr>
        <w:t xml:space="preserve">) sia formati aperti </w:t>
      </w:r>
      <w:r w:rsidR="00FE19A0" w:rsidRPr="00452936">
        <w:rPr>
          <w:rFonts w:ascii="Titillium" w:hAnsi="Titillium"/>
          <w:sz w:val="20"/>
          <w:szCs w:val="20"/>
        </w:rPr>
        <w:t>(quali, ad esempio</w:t>
      </w:r>
      <w:r w:rsidR="00315E95" w:rsidRPr="00452936">
        <w:rPr>
          <w:rFonts w:ascii="Titillium" w:hAnsi="Titillium"/>
          <w:sz w:val="20"/>
          <w:szCs w:val="20"/>
        </w:rPr>
        <w:t>, .rtf per i documenti di testo e .csv per i fogli di calcolo</w:t>
      </w:r>
      <w:r w:rsidR="00FE19A0" w:rsidRPr="00452936">
        <w:rPr>
          <w:rFonts w:ascii="Titillium" w:hAnsi="Titillium"/>
          <w:sz w:val="20"/>
          <w:szCs w:val="20"/>
        </w:rPr>
        <w:t>)</w:t>
      </w:r>
      <w:r w:rsidR="00315E95" w:rsidRPr="00452936">
        <w:rPr>
          <w:rFonts w:ascii="Titillium" w:hAnsi="Titillium"/>
          <w:sz w:val="20"/>
          <w:szCs w:val="20"/>
        </w:rPr>
        <w:t>.</w:t>
      </w:r>
    </w:p>
    <w:p w:rsidR="00B54B1B" w:rsidRPr="00452936" w:rsidRDefault="00315E95" w:rsidP="004B532A">
      <w:pPr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Per quanto concerne il PDF – formato proprietario il cui </w:t>
      </w:r>
      <w:r w:rsidRPr="00452936">
        <w:rPr>
          <w:rFonts w:ascii="Titillium" w:hAnsi="Titillium"/>
          <w:i/>
          <w:sz w:val="20"/>
          <w:szCs w:val="20"/>
        </w:rPr>
        <w:t>reader</w:t>
      </w:r>
      <w:r w:rsidRPr="00452936">
        <w:rPr>
          <w:rFonts w:ascii="Titillium" w:hAnsi="Titillium"/>
          <w:sz w:val="20"/>
          <w:szCs w:val="20"/>
        </w:rPr>
        <w:t xml:space="preserve"> è disponibile gratuitamente – </w:t>
      </w:r>
      <w:r w:rsidR="00FE19A0" w:rsidRPr="00452936">
        <w:rPr>
          <w:rFonts w:ascii="Titillium" w:hAnsi="Titillium"/>
          <w:sz w:val="20"/>
          <w:szCs w:val="20"/>
        </w:rPr>
        <w:t>se ne suggerisce</w:t>
      </w:r>
      <w:r w:rsidR="00B54B1B" w:rsidRPr="00452936">
        <w:rPr>
          <w:rFonts w:ascii="Titillium" w:hAnsi="Titillium"/>
          <w:sz w:val="20"/>
          <w:szCs w:val="20"/>
        </w:rPr>
        <w:t xml:space="preserve"> l’impiego esclusivamente nelle versioni che consentano l’archiviazione a lungo termine e indipendenti dal </w:t>
      </w:r>
      <w:r w:rsidR="00B54B1B" w:rsidRPr="00452936">
        <w:rPr>
          <w:rFonts w:ascii="Titillium" w:hAnsi="Titillium"/>
          <w:i/>
          <w:sz w:val="20"/>
          <w:szCs w:val="20"/>
        </w:rPr>
        <w:t>software</w:t>
      </w:r>
      <w:r w:rsidR="00B54B1B" w:rsidRPr="00452936">
        <w:rPr>
          <w:rFonts w:ascii="Titillium" w:hAnsi="Titillium"/>
          <w:sz w:val="20"/>
          <w:szCs w:val="20"/>
        </w:rPr>
        <w:t xml:space="preserve"> utilizzato (ad esempio, il formato PDF/A i cui dati sono elaborabili mentre il ricorso al file PDF in formato immagine, con la scansione digitale di documenti cartacei, non assicura che le informazioni siano elaborabili). </w:t>
      </w:r>
    </w:p>
    <w:p w:rsidR="00B54B1B" w:rsidRPr="00452936" w:rsidRDefault="00B54B1B" w:rsidP="004B5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 xml:space="preserve">Una </w:t>
      </w:r>
      <w:r w:rsidRPr="00452936">
        <w:rPr>
          <w:rFonts w:ascii="Titillium" w:hAnsi="Titillium"/>
          <w:b/>
          <w:sz w:val="20"/>
          <w:szCs w:val="20"/>
        </w:rPr>
        <w:t xml:space="preserve">alternativa ai formati di documenti aperti </w:t>
      </w:r>
      <w:r w:rsidRPr="00452936">
        <w:rPr>
          <w:rFonts w:ascii="Titillium" w:hAnsi="Titillium"/>
          <w:sz w:val="20"/>
          <w:szCs w:val="20"/>
        </w:rPr>
        <w:t>è rappresentata anche dal formato ODF</w:t>
      </w:r>
      <w:r w:rsidR="004B532A" w:rsidRPr="00452936">
        <w:rPr>
          <w:rFonts w:ascii="Titillium" w:hAnsi="Titillium"/>
          <w:sz w:val="20"/>
          <w:szCs w:val="20"/>
        </w:rPr>
        <w:t xml:space="preserve"> –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Pr="00452936">
        <w:rPr>
          <w:rFonts w:ascii="Titillium" w:hAnsi="Titillium"/>
          <w:i/>
          <w:sz w:val="20"/>
          <w:szCs w:val="20"/>
        </w:rPr>
        <w:t>Open</w:t>
      </w:r>
      <w:r w:rsidR="001E55EA" w:rsidRPr="00452936">
        <w:rPr>
          <w:rFonts w:ascii="Titillium" w:hAnsi="Titillium"/>
          <w:i/>
          <w:sz w:val="20"/>
          <w:szCs w:val="20"/>
        </w:rPr>
        <w:t xml:space="preserve"> </w:t>
      </w:r>
      <w:r w:rsidRPr="00452936">
        <w:rPr>
          <w:rFonts w:ascii="Titillium" w:hAnsi="Titillium"/>
          <w:i/>
          <w:sz w:val="20"/>
          <w:szCs w:val="20"/>
        </w:rPr>
        <w:t>Document Format</w:t>
      </w:r>
      <w:r w:rsidR="00D96A3C" w:rsidRPr="00452936">
        <w:rPr>
          <w:rFonts w:ascii="Titillium" w:hAnsi="Titillium"/>
          <w:sz w:val="20"/>
          <w:szCs w:val="20"/>
        </w:rPr>
        <w:t>,</w:t>
      </w:r>
      <w:r w:rsidRPr="00452936">
        <w:rPr>
          <w:rFonts w:ascii="Titillium" w:hAnsi="Titillium"/>
          <w:sz w:val="20"/>
          <w:szCs w:val="20"/>
        </w:rPr>
        <w:t xml:space="preserve"> che consente la lettura e l’elaborazione di documenti di test</w:t>
      </w:r>
      <w:r w:rsidR="00767E96" w:rsidRPr="00452936">
        <w:rPr>
          <w:rFonts w:ascii="Titillium" w:hAnsi="Titillium"/>
          <w:sz w:val="20"/>
          <w:szCs w:val="20"/>
        </w:rPr>
        <w:t>o, di dati in formato tabellare e</w:t>
      </w:r>
      <w:r w:rsidRPr="00452936">
        <w:rPr>
          <w:rFonts w:ascii="Titillium" w:hAnsi="Titillium"/>
          <w:sz w:val="20"/>
          <w:szCs w:val="20"/>
        </w:rPr>
        <w:t xml:space="preserve"> </w:t>
      </w:r>
      <w:r w:rsidR="00D96A3C" w:rsidRPr="00452936">
        <w:rPr>
          <w:rFonts w:ascii="Titillium" w:hAnsi="Titillium"/>
          <w:sz w:val="20"/>
          <w:szCs w:val="20"/>
        </w:rPr>
        <w:t xml:space="preserve">di </w:t>
      </w:r>
      <w:r w:rsidRPr="00452936">
        <w:rPr>
          <w:rFonts w:ascii="Titillium" w:hAnsi="Titillium"/>
          <w:sz w:val="20"/>
          <w:szCs w:val="20"/>
        </w:rPr>
        <w:t xml:space="preserve">presentazioni. </w:t>
      </w:r>
    </w:p>
    <w:p w:rsidR="00B54B1B" w:rsidRPr="00452936" w:rsidRDefault="000B6CE1" w:rsidP="00C874EC">
      <w:pPr>
        <w:spacing w:after="0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hAnsi="Titillium"/>
          <w:sz w:val="20"/>
          <w:szCs w:val="20"/>
        </w:rPr>
        <w:t>L’</w:t>
      </w:r>
      <w:hyperlink r:id="rId12" w:history="1">
        <w:r w:rsidRPr="00452936">
          <w:rPr>
            <w:rFonts w:ascii="Titillium" w:hAnsi="Titillium"/>
            <w:sz w:val="20"/>
            <w:szCs w:val="20"/>
          </w:rPr>
          <w:t>art. 1,</w:t>
        </w:r>
      </w:hyperlink>
      <w:r w:rsidRPr="00452936">
        <w:rPr>
          <w:rFonts w:ascii="Titillium" w:hAnsi="Titillium"/>
          <w:sz w:val="20"/>
          <w:szCs w:val="20"/>
        </w:rPr>
        <w:t xml:space="preserve"> co. 1, lett. l-bis) del d.lgs. n. 82/2005 definisce il </w:t>
      </w:r>
      <w:r w:rsidRPr="00452936">
        <w:rPr>
          <w:rFonts w:ascii="Titillium" w:hAnsi="Titillium"/>
          <w:b/>
          <w:sz w:val="20"/>
          <w:szCs w:val="20"/>
        </w:rPr>
        <w:t>formato aperto</w:t>
      </w:r>
      <w:r w:rsidRPr="00452936">
        <w:rPr>
          <w:rFonts w:ascii="Titillium" w:hAnsi="Titillium"/>
          <w:sz w:val="20"/>
          <w:szCs w:val="20"/>
        </w:rPr>
        <w:t xml:space="preserve"> come un formato di dati reso pubblico, documentato esaustivamente e neutro rispetto agli strumenti tecnologici necessari per la fruizione dei dati stessi</w:t>
      </w:r>
      <w:r w:rsidR="00AD5A2E" w:rsidRPr="00452936">
        <w:rPr>
          <w:rFonts w:ascii="Titillium" w:hAnsi="Titillium"/>
          <w:sz w:val="20"/>
          <w:szCs w:val="20"/>
        </w:rPr>
        <w:t xml:space="preserve">. La </w:t>
      </w:r>
      <w:r w:rsidRPr="00452936">
        <w:rPr>
          <w:rFonts w:ascii="Titillium" w:hAnsi="Titillium"/>
          <w:sz w:val="20"/>
          <w:szCs w:val="20"/>
        </w:rPr>
        <w:t>lett. l-ter)</w:t>
      </w:r>
      <w:r w:rsidR="00AD5A2E" w:rsidRPr="00452936">
        <w:rPr>
          <w:rFonts w:ascii="Titillium" w:hAnsi="Titillium"/>
          <w:sz w:val="20"/>
          <w:szCs w:val="20"/>
        </w:rPr>
        <w:t xml:space="preserve"> del medesimo art.</w:t>
      </w:r>
      <w:r w:rsidR="00C874EC" w:rsidRPr="00452936">
        <w:rPr>
          <w:rFonts w:ascii="Titillium" w:hAnsi="Titillium"/>
          <w:sz w:val="20"/>
          <w:szCs w:val="20"/>
        </w:rPr>
        <w:t xml:space="preserve"> 1 </w:t>
      </w:r>
      <w:r w:rsidR="00A26536" w:rsidRPr="00452936">
        <w:rPr>
          <w:rFonts w:ascii="Titillium" w:hAnsi="Titillium"/>
          <w:sz w:val="20"/>
          <w:szCs w:val="20"/>
        </w:rPr>
        <w:t>definisce</w:t>
      </w:r>
      <w:r w:rsidR="00C874EC" w:rsidRPr="00452936">
        <w:rPr>
          <w:rFonts w:ascii="Titillium" w:hAnsi="Titillium"/>
          <w:sz w:val="20"/>
          <w:szCs w:val="20"/>
        </w:rPr>
        <w:t>,</w:t>
      </w:r>
      <w:r w:rsidR="00A26536" w:rsidRPr="00452936">
        <w:rPr>
          <w:rFonts w:ascii="Titillium" w:hAnsi="Titillium"/>
          <w:sz w:val="20"/>
          <w:szCs w:val="20"/>
        </w:rPr>
        <w:t xml:space="preserve"> in</w:t>
      </w:r>
      <w:r w:rsidR="003E0E78" w:rsidRPr="00452936">
        <w:rPr>
          <w:rFonts w:ascii="Titillium" w:hAnsi="Titillium"/>
          <w:sz w:val="20"/>
          <w:szCs w:val="20"/>
        </w:rPr>
        <w:t>oltre</w:t>
      </w:r>
      <w:r w:rsidR="00A26536" w:rsidRPr="00452936">
        <w:rPr>
          <w:rFonts w:ascii="Titillium" w:hAnsi="Titillium"/>
          <w:sz w:val="20"/>
          <w:szCs w:val="20"/>
        </w:rPr>
        <w:t>,</w:t>
      </w:r>
      <w:r w:rsidR="00B54B1B" w:rsidRPr="00452936">
        <w:rPr>
          <w:rFonts w:ascii="Titillium" w:hAnsi="Titillium"/>
          <w:sz w:val="20"/>
          <w:szCs w:val="20"/>
        </w:rPr>
        <w:t xml:space="preserve"> come </w:t>
      </w:r>
      <w:r w:rsidR="00B54B1B" w:rsidRPr="00452936">
        <w:rPr>
          <w:rFonts w:ascii="Titillium" w:hAnsi="Titillium"/>
          <w:b/>
          <w:sz w:val="20"/>
          <w:szCs w:val="20"/>
        </w:rPr>
        <w:t>dati di tipo aperto</w:t>
      </w:r>
      <w:r w:rsidR="00B54B1B" w:rsidRPr="00452936">
        <w:rPr>
          <w:rFonts w:ascii="Titillium" w:hAnsi="Titillium"/>
          <w:sz w:val="20"/>
          <w:szCs w:val="20"/>
        </w:rPr>
        <w:t xml:space="preserve"> quelli che presentano le seguenti caratteristiche:</w:t>
      </w:r>
      <w:r w:rsidR="00D464AC" w:rsidRPr="00452936">
        <w:rPr>
          <w:rFonts w:ascii="Titillium" w:hAnsi="Titillium"/>
          <w:sz w:val="20"/>
          <w:szCs w:val="20"/>
        </w:rPr>
        <w:t xml:space="preserve"> </w:t>
      </w:r>
    </w:p>
    <w:p w:rsidR="00B54B1B" w:rsidRPr="00452936" w:rsidRDefault="00B54B1B" w:rsidP="000B6CE1">
      <w:pPr>
        <w:spacing w:after="0"/>
        <w:ind w:firstLine="600"/>
        <w:jc w:val="both"/>
        <w:rPr>
          <w:rFonts w:ascii="Titillium" w:hAnsi="Titillium"/>
          <w:sz w:val="20"/>
          <w:szCs w:val="20"/>
        </w:rPr>
      </w:pPr>
    </w:p>
    <w:p w:rsidR="009418C0" w:rsidRPr="00452936" w:rsidRDefault="009418C0" w:rsidP="00A83E4A">
      <w:pPr>
        <w:pStyle w:val="dj-para-r3"/>
        <w:spacing w:line="276" w:lineRule="auto"/>
        <w:jc w:val="both"/>
        <w:rPr>
          <w:rFonts w:ascii="Titillium" w:eastAsia="Calibri" w:hAnsi="Titillium"/>
          <w:sz w:val="20"/>
          <w:szCs w:val="20"/>
          <w:lang w:eastAsia="en-US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t>1) sono disponibili secondo i termini di una licenza o di una previsione normativa che ne permetta l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’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utilizzo da parte di chiunque, anche per 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finalità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 commerciali, in formato disaggregato;</w:t>
      </w:r>
    </w:p>
    <w:p w:rsidR="009418C0" w:rsidRPr="00452936" w:rsidRDefault="009418C0" w:rsidP="00A83E4A">
      <w:pPr>
        <w:pStyle w:val="dj-para-r3"/>
        <w:spacing w:line="276" w:lineRule="auto"/>
        <w:jc w:val="both"/>
        <w:rPr>
          <w:rFonts w:ascii="Titillium" w:eastAsia="Calibri" w:hAnsi="Titillium"/>
          <w:sz w:val="20"/>
          <w:szCs w:val="20"/>
          <w:lang w:eastAsia="en-US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t xml:space="preserve">2) sono accessibili attraverso le tecnologie dell'informazione e della comunicazione, ivi comprese le reti telematiche pubbliche e private, in formati aperti ai sensi della </w:t>
      </w:r>
      <w:r w:rsidR="00AD5A2E" w:rsidRPr="00452936">
        <w:rPr>
          <w:rFonts w:ascii="Titillium" w:eastAsia="Calibri" w:hAnsi="Titillium"/>
          <w:sz w:val="20"/>
          <w:szCs w:val="20"/>
          <w:lang w:eastAsia="en-US"/>
        </w:rPr>
        <w:t>lettera l-bis), sono adatti all’</w:t>
      </w:r>
      <w:r w:rsidRPr="00452936">
        <w:rPr>
          <w:rFonts w:ascii="Titillium" w:eastAsia="Calibri" w:hAnsi="Titillium"/>
          <w:sz w:val="20"/>
          <w:szCs w:val="20"/>
          <w:lang w:eastAsia="en-US"/>
        </w:rPr>
        <w:t>utilizzo automatico da parte di programmi per elaboratori e sono provvisti dei relativi metadati;</w:t>
      </w:r>
      <w:r w:rsidRPr="00452936">
        <w:rPr>
          <w:rFonts w:ascii="Calibri" w:eastAsia="Calibri" w:hAnsi="Calibri" w:cs="Calibri"/>
          <w:sz w:val="20"/>
          <w:szCs w:val="20"/>
          <w:lang w:eastAsia="en-US"/>
        </w:rPr>
        <w:t> </w:t>
      </w:r>
    </w:p>
    <w:p w:rsidR="00470055" w:rsidRPr="00452936" w:rsidRDefault="009418C0" w:rsidP="00A04A3A">
      <w:pPr>
        <w:pStyle w:val="dj-para-r3"/>
        <w:spacing w:line="276" w:lineRule="auto"/>
        <w:jc w:val="both"/>
        <w:rPr>
          <w:rFonts w:ascii="Titillium" w:hAnsi="Titillium"/>
          <w:sz w:val="20"/>
          <w:szCs w:val="20"/>
        </w:rPr>
      </w:pPr>
      <w:r w:rsidRPr="00452936">
        <w:rPr>
          <w:rFonts w:ascii="Titillium" w:eastAsia="Calibri" w:hAnsi="Titillium"/>
          <w:sz w:val="20"/>
          <w:szCs w:val="20"/>
          <w:lang w:eastAsia="en-US"/>
        </w:rPr>
        <w:t>3) sono resi disponibili gratuitamente attraverso le tecnologie dell'informazione e della comunicazione, ivi comprese le reti telematiche pubbliche e private, oppure sono resi disponibili ai costi marginali sostenuti per la loro riproduzione e divulgazione salvo quanto previsto dall'articolo 7 del decreto legislativo 24 gennaio 2006, n. 36</w:t>
      </w:r>
      <w:r w:rsidR="000B6CE1" w:rsidRPr="00452936">
        <w:rPr>
          <w:rFonts w:ascii="Titillium" w:eastAsia="Calibri" w:hAnsi="Titillium"/>
          <w:sz w:val="20"/>
          <w:szCs w:val="20"/>
          <w:lang w:eastAsia="en-US"/>
        </w:rPr>
        <w:t>.</w:t>
      </w:r>
    </w:p>
    <w:sectPr w:rsidR="00470055" w:rsidRPr="00452936" w:rsidSect="00470055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C78" w:rsidRDefault="00774C78" w:rsidP="00ED2D6B">
      <w:pPr>
        <w:spacing w:after="0" w:line="240" w:lineRule="auto"/>
      </w:pPr>
      <w:r>
        <w:separator/>
      </w:r>
    </w:p>
  </w:endnote>
  <w:endnote w:type="continuationSeparator" w:id="0">
    <w:p w:rsidR="00774C78" w:rsidRDefault="00774C78" w:rsidP="00ED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5B" w:rsidRPr="00C06935" w:rsidRDefault="00D95364">
    <w:pPr>
      <w:pStyle w:val="Pidipagina"/>
      <w:jc w:val="right"/>
      <w:rPr>
        <w:rFonts w:ascii="Times New Roman" w:hAnsi="Times New Roman"/>
      </w:rPr>
    </w:pPr>
    <w:r w:rsidRPr="00C06935">
      <w:rPr>
        <w:rFonts w:ascii="Times New Roman" w:hAnsi="Times New Roman"/>
      </w:rPr>
      <w:fldChar w:fldCharType="begin"/>
    </w:r>
    <w:r w:rsidR="0003065B" w:rsidRPr="00C06935">
      <w:rPr>
        <w:rFonts w:ascii="Times New Roman" w:hAnsi="Times New Roman"/>
      </w:rPr>
      <w:instrText xml:space="preserve"> PAGE   \* MERGEFORMAT </w:instrText>
    </w:r>
    <w:r w:rsidRPr="00C06935">
      <w:rPr>
        <w:rFonts w:ascii="Times New Roman" w:hAnsi="Times New Roman"/>
      </w:rPr>
      <w:fldChar w:fldCharType="separate"/>
    </w:r>
    <w:r w:rsidR="007E4440">
      <w:rPr>
        <w:rFonts w:ascii="Times New Roman" w:hAnsi="Times New Roman"/>
        <w:noProof/>
      </w:rPr>
      <w:t>1</w:t>
    </w:r>
    <w:r w:rsidRPr="00C06935">
      <w:rPr>
        <w:rFonts w:ascii="Times New Roman" w:hAnsi="Times New Roman"/>
      </w:rPr>
      <w:fldChar w:fldCharType="end"/>
    </w:r>
  </w:p>
  <w:p w:rsidR="0003065B" w:rsidRDefault="000306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C78" w:rsidRDefault="00774C78" w:rsidP="00ED2D6B">
      <w:pPr>
        <w:spacing w:after="0" w:line="240" w:lineRule="auto"/>
      </w:pPr>
      <w:r>
        <w:separator/>
      </w:r>
    </w:p>
  </w:footnote>
  <w:footnote w:type="continuationSeparator" w:id="0">
    <w:p w:rsidR="00774C78" w:rsidRDefault="00774C78" w:rsidP="00ED2D6B">
      <w:pPr>
        <w:spacing w:after="0" w:line="240" w:lineRule="auto"/>
      </w:pPr>
      <w:r>
        <w:continuationSeparator/>
      </w:r>
    </w:p>
  </w:footnote>
  <w:footnote w:id="1">
    <w:p w:rsidR="00D92758" w:rsidRPr="003E0E78" w:rsidRDefault="00D92758" w:rsidP="00D9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Garamond" w:hAnsi="Garamond"/>
          <w:sz w:val="20"/>
          <w:szCs w:val="20"/>
        </w:rPr>
      </w:pPr>
      <w:r w:rsidRPr="003E0E78">
        <w:rPr>
          <w:rFonts w:ascii="Garamond" w:hAnsi="Garamond"/>
          <w:sz w:val="20"/>
          <w:szCs w:val="20"/>
          <w:vertAlign w:val="superscript"/>
        </w:rPr>
        <w:footnoteRef/>
      </w:r>
      <w:r w:rsidRPr="003E0E78">
        <w:rPr>
          <w:rFonts w:ascii="Garamond" w:hAnsi="Garamond"/>
          <w:sz w:val="20"/>
          <w:szCs w:val="20"/>
        </w:rPr>
        <w:t xml:space="preserve"> Nel Repertorio dei formati aperti, l’Agenzia per l’Italia Digitale (AGID) inserisce quei formati di cui viene resa pubblica, mediante esaustiva documentazione, la sintassi, la semantica, il contesto operativo e le modalità di utilizzo.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5B" w:rsidRDefault="00452936" w:rsidP="00452936">
    <w:pPr>
      <w:pStyle w:val="Intestazione"/>
      <w:tabs>
        <w:tab w:val="left" w:pos="720"/>
        <w:tab w:val="left" w:pos="1665"/>
      </w:tabs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editId="3DFD846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55F"/>
    <w:multiLevelType w:val="hybridMultilevel"/>
    <w:tmpl w:val="82F220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3222"/>
    <w:multiLevelType w:val="hybridMultilevel"/>
    <w:tmpl w:val="595EF1D8"/>
    <w:lvl w:ilvl="0" w:tplc="411095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4AE02FE"/>
    <w:multiLevelType w:val="multilevel"/>
    <w:tmpl w:val="E1946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5E65855"/>
    <w:multiLevelType w:val="hybridMultilevel"/>
    <w:tmpl w:val="3B00CF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26482"/>
    <w:multiLevelType w:val="hybridMultilevel"/>
    <w:tmpl w:val="41109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14015"/>
    <w:multiLevelType w:val="hybridMultilevel"/>
    <w:tmpl w:val="1604FD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775F2"/>
    <w:multiLevelType w:val="multilevel"/>
    <w:tmpl w:val="30708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7">
    <w:nsid w:val="49714663"/>
    <w:multiLevelType w:val="hybridMultilevel"/>
    <w:tmpl w:val="7F6A70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36089"/>
    <w:multiLevelType w:val="hybridMultilevel"/>
    <w:tmpl w:val="F34660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B11B2"/>
    <w:multiLevelType w:val="hybridMultilevel"/>
    <w:tmpl w:val="C5D65DE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918388E"/>
    <w:multiLevelType w:val="hybridMultilevel"/>
    <w:tmpl w:val="F4CA87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F5918"/>
    <w:multiLevelType w:val="hybridMultilevel"/>
    <w:tmpl w:val="C5C24A5C"/>
    <w:lvl w:ilvl="0" w:tplc="976CB2A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52A4EC9"/>
    <w:multiLevelType w:val="multilevel"/>
    <w:tmpl w:val="69125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BC04B8F"/>
    <w:multiLevelType w:val="hybridMultilevel"/>
    <w:tmpl w:val="1B28145C"/>
    <w:lvl w:ilvl="0" w:tplc="95AC59B8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" w:hanging="360"/>
      </w:pPr>
    </w:lvl>
    <w:lvl w:ilvl="2" w:tplc="0410001B" w:tentative="1">
      <w:start w:val="1"/>
      <w:numFmt w:val="lowerRoman"/>
      <w:lvlText w:val="%3."/>
      <w:lvlJc w:val="right"/>
      <w:pPr>
        <w:ind w:left="741" w:hanging="180"/>
      </w:pPr>
    </w:lvl>
    <w:lvl w:ilvl="3" w:tplc="0410000F" w:tentative="1">
      <w:start w:val="1"/>
      <w:numFmt w:val="decimal"/>
      <w:lvlText w:val="%4."/>
      <w:lvlJc w:val="left"/>
      <w:pPr>
        <w:ind w:left="1461" w:hanging="360"/>
      </w:pPr>
    </w:lvl>
    <w:lvl w:ilvl="4" w:tplc="04100019" w:tentative="1">
      <w:start w:val="1"/>
      <w:numFmt w:val="lowerLetter"/>
      <w:lvlText w:val="%5."/>
      <w:lvlJc w:val="left"/>
      <w:pPr>
        <w:ind w:left="2181" w:hanging="360"/>
      </w:pPr>
    </w:lvl>
    <w:lvl w:ilvl="5" w:tplc="0410001B" w:tentative="1">
      <w:start w:val="1"/>
      <w:numFmt w:val="lowerRoman"/>
      <w:lvlText w:val="%6."/>
      <w:lvlJc w:val="right"/>
      <w:pPr>
        <w:ind w:left="2901" w:hanging="180"/>
      </w:pPr>
    </w:lvl>
    <w:lvl w:ilvl="6" w:tplc="0410000F" w:tentative="1">
      <w:start w:val="1"/>
      <w:numFmt w:val="decimal"/>
      <w:lvlText w:val="%7."/>
      <w:lvlJc w:val="left"/>
      <w:pPr>
        <w:ind w:left="3621" w:hanging="360"/>
      </w:pPr>
    </w:lvl>
    <w:lvl w:ilvl="7" w:tplc="04100019" w:tentative="1">
      <w:start w:val="1"/>
      <w:numFmt w:val="lowerLetter"/>
      <w:lvlText w:val="%8."/>
      <w:lvlJc w:val="left"/>
      <w:pPr>
        <w:ind w:left="4341" w:hanging="360"/>
      </w:pPr>
    </w:lvl>
    <w:lvl w:ilvl="8" w:tplc="0410001B" w:tentative="1">
      <w:start w:val="1"/>
      <w:numFmt w:val="lowerRoman"/>
      <w:lvlText w:val="%9."/>
      <w:lvlJc w:val="right"/>
      <w:pPr>
        <w:ind w:left="5061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12"/>
  </w:num>
  <w:num w:numId="7">
    <w:abstractNumId w:val="7"/>
  </w:num>
  <w:num w:numId="8">
    <w:abstractNumId w:val="13"/>
  </w:num>
  <w:num w:numId="9">
    <w:abstractNumId w:val="3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6B"/>
    <w:rsid w:val="00011EFA"/>
    <w:rsid w:val="00023411"/>
    <w:rsid w:val="00025D0F"/>
    <w:rsid w:val="0003065B"/>
    <w:rsid w:val="00044839"/>
    <w:rsid w:val="00050EA7"/>
    <w:rsid w:val="00061838"/>
    <w:rsid w:val="00074765"/>
    <w:rsid w:val="000755FF"/>
    <w:rsid w:val="000962EB"/>
    <w:rsid w:val="000A391C"/>
    <w:rsid w:val="000A6558"/>
    <w:rsid w:val="000B6286"/>
    <w:rsid w:val="000B6CE1"/>
    <w:rsid w:val="000B72AB"/>
    <w:rsid w:val="000C06A4"/>
    <w:rsid w:val="000C2B3A"/>
    <w:rsid w:val="000D4858"/>
    <w:rsid w:val="000D4DF1"/>
    <w:rsid w:val="000E10A2"/>
    <w:rsid w:val="000E254E"/>
    <w:rsid w:val="000E6D83"/>
    <w:rsid w:val="0011246A"/>
    <w:rsid w:val="00116AF8"/>
    <w:rsid w:val="001275DC"/>
    <w:rsid w:val="00130A06"/>
    <w:rsid w:val="00153C20"/>
    <w:rsid w:val="00153EB6"/>
    <w:rsid w:val="00154853"/>
    <w:rsid w:val="00154BFC"/>
    <w:rsid w:val="001551AE"/>
    <w:rsid w:val="001568A1"/>
    <w:rsid w:val="001754D8"/>
    <w:rsid w:val="001813FC"/>
    <w:rsid w:val="00184380"/>
    <w:rsid w:val="0019190F"/>
    <w:rsid w:val="001B1959"/>
    <w:rsid w:val="001C1305"/>
    <w:rsid w:val="001C3C9A"/>
    <w:rsid w:val="001E3F98"/>
    <w:rsid w:val="001E55EA"/>
    <w:rsid w:val="001F5307"/>
    <w:rsid w:val="002123B6"/>
    <w:rsid w:val="00220C19"/>
    <w:rsid w:val="00234D1C"/>
    <w:rsid w:val="00237D74"/>
    <w:rsid w:val="002444ED"/>
    <w:rsid w:val="002557B3"/>
    <w:rsid w:val="00256E01"/>
    <w:rsid w:val="002803CC"/>
    <w:rsid w:val="002869DB"/>
    <w:rsid w:val="00293F09"/>
    <w:rsid w:val="002A0393"/>
    <w:rsid w:val="002A42EC"/>
    <w:rsid w:val="002A4BE5"/>
    <w:rsid w:val="002B4490"/>
    <w:rsid w:val="002C4874"/>
    <w:rsid w:val="002C7404"/>
    <w:rsid w:val="002D0DF2"/>
    <w:rsid w:val="002D25DF"/>
    <w:rsid w:val="002E34BE"/>
    <w:rsid w:val="002E3BC0"/>
    <w:rsid w:val="002E4D13"/>
    <w:rsid w:val="002F45AC"/>
    <w:rsid w:val="002F723D"/>
    <w:rsid w:val="00302BA7"/>
    <w:rsid w:val="0030435C"/>
    <w:rsid w:val="0031026E"/>
    <w:rsid w:val="00311CCB"/>
    <w:rsid w:val="00315E95"/>
    <w:rsid w:val="00316D15"/>
    <w:rsid w:val="00321A24"/>
    <w:rsid w:val="0035048A"/>
    <w:rsid w:val="00362B2B"/>
    <w:rsid w:val="00364F18"/>
    <w:rsid w:val="00370CFD"/>
    <w:rsid w:val="00385755"/>
    <w:rsid w:val="0039055F"/>
    <w:rsid w:val="003A0F7E"/>
    <w:rsid w:val="003B686A"/>
    <w:rsid w:val="003C16E2"/>
    <w:rsid w:val="003D105A"/>
    <w:rsid w:val="003D69E1"/>
    <w:rsid w:val="003E0E78"/>
    <w:rsid w:val="003E2D60"/>
    <w:rsid w:val="003E47E8"/>
    <w:rsid w:val="003E4D50"/>
    <w:rsid w:val="003E77E8"/>
    <w:rsid w:val="00436316"/>
    <w:rsid w:val="00446B06"/>
    <w:rsid w:val="00450189"/>
    <w:rsid w:val="00452936"/>
    <w:rsid w:val="00470055"/>
    <w:rsid w:val="00495B2D"/>
    <w:rsid w:val="00497672"/>
    <w:rsid w:val="00497885"/>
    <w:rsid w:val="004A1E27"/>
    <w:rsid w:val="004A5956"/>
    <w:rsid w:val="004B532A"/>
    <w:rsid w:val="004B7136"/>
    <w:rsid w:val="004D46D7"/>
    <w:rsid w:val="004D5444"/>
    <w:rsid w:val="004E55C8"/>
    <w:rsid w:val="004E5BFF"/>
    <w:rsid w:val="004F0A5F"/>
    <w:rsid w:val="004F3BDB"/>
    <w:rsid w:val="00500782"/>
    <w:rsid w:val="00507602"/>
    <w:rsid w:val="005118D5"/>
    <w:rsid w:val="0052027D"/>
    <w:rsid w:val="005215D3"/>
    <w:rsid w:val="00530EDD"/>
    <w:rsid w:val="005343A5"/>
    <w:rsid w:val="00542BA7"/>
    <w:rsid w:val="005500BD"/>
    <w:rsid w:val="00554795"/>
    <w:rsid w:val="00564E95"/>
    <w:rsid w:val="00564F7A"/>
    <w:rsid w:val="00570519"/>
    <w:rsid w:val="00571708"/>
    <w:rsid w:val="005724F8"/>
    <w:rsid w:val="00575E69"/>
    <w:rsid w:val="005801CB"/>
    <w:rsid w:val="005B456F"/>
    <w:rsid w:val="005C1710"/>
    <w:rsid w:val="005C68DC"/>
    <w:rsid w:val="005C6D0C"/>
    <w:rsid w:val="005E0009"/>
    <w:rsid w:val="005E2A50"/>
    <w:rsid w:val="005E621C"/>
    <w:rsid w:val="005F697D"/>
    <w:rsid w:val="006023E7"/>
    <w:rsid w:val="00614B4F"/>
    <w:rsid w:val="00623F84"/>
    <w:rsid w:val="00624A8B"/>
    <w:rsid w:val="006451E7"/>
    <w:rsid w:val="0065507A"/>
    <w:rsid w:val="00655173"/>
    <w:rsid w:val="00655239"/>
    <w:rsid w:val="0066174D"/>
    <w:rsid w:val="006763B3"/>
    <w:rsid w:val="006836F3"/>
    <w:rsid w:val="00691D50"/>
    <w:rsid w:val="006B2C5F"/>
    <w:rsid w:val="006C4E85"/>
    <w:rsid w:val="006E2345"/>
    <w:rsid w:val="006F5753"/>
    <w:rsid w:val="006F6203"/>
    <w:rsid w:val="0070558F"/>
    <w:rsid w:val="007132E6"/>
    <w:rsid w:val="00720B79"/>
    <w:rsid w:val="00722DF8"/>
    <w:rsid w:val="00731381"/>
    <w:rsid w:val="007318C5"/>
    <w:rsid w:val="0073596F"/>
    <w:rsid w:val="0075401B"/>
    <w:rsid w:val="00767297"/>
    <w:rsid w:val="00767E96"/>
    <w:rsid w:val="00774C78"/>
    <w:rsid w:val="00782341"/>
    <w:rsid w:val="00784A1B"/>
    <w:rsid w:val="00785DEA"/>
    <w:rsid w:val="00794FF7"/>
    <w:rsid w:val="007B353C"/>
    <w:rsid w:val="007B7F8B"/>
    <w:rsid w:val="007C0CBD"/>
    <w:rsid w:val="007D3B31"/>
    <w:rsid w:val="007E2431"/>
    <w:rsid w:val="007E4440"/>
    <w:rsid w:val="007F190F"/>
    <w:rsid w:val="0080156F"/>
    <w:rsid w:val="00820438"/>
    <w:rsid w:val="00820E01"/>
    <w:rsid w:val="00837B0B"/>
    <w:rsid w:val="008514C3"/>
    <w:rsid w:val="0085751E"/>
    <w:rsid w:val="008601B4"/>
    <w:rsid w:val="00860C31"/>
    <w:rsid w:val="0086525E"/>
    <w:rsid w:val="0086657B"/>
    <w:rsid w:val="00874D18"/>
    <w:rsid w:val="008770DA"/>
    <w:rsid w:val="00882755"/>
    <w:rsid w:val="008A631B"/>
    <w:rsid w:val="008A7B5A"/>
    <w:rsid w:val="008B55F1"/>
    <w:rsid w:val="008C436C"/>
    <w:rsid w:val="008E1601"/>
    <w:rsid w:val="008E76EB"/>
    <w:rsid w:val="008F69A9"/>
    <w:rsid w:val="00903DCD"/>
    <w:rsid w:val="0091136D"/>
    <w:rsid w:val="009323FF"/>
    <w:rsid w:val="009418C0"/>
    <w:rsid w:val="00965A50"/>
    <w:rsid w:val="009830F3"/>
    <w:rsid w:val="009A1ED5"/>
    <w:rsid w:val="009E2E62"/>
    <w:rsid w:val="009E678A"/>
    <w:rsid w:val="009F0AF6"/>
    <w:rsid w:val="00A00CCF"/>
    <w:rsid w:val="00A044AE"/>
    <w:rsid w:val="00A04A3A"/>
    <w:rsid w:val="00A05068"/>
    <w:rsid w:val="00A22746"/>
    <w:rsid w:val="00A26536"/>
    <w:rsid w:val="00A364DE"/>
    <w:rsid w:val="00A50FB1"/>
    <w:rsid w:val="00A61CF1"/>
    <w:rsid w:val="00A66127"/>
    <w:rsid w:val="00A773F9"/>
    <w:rsid w:val="00A83E4A"/>
    <w:rsid w:val="00A86BD4"/>
    <w:rsid w:val="00A91C2A"/>
    <w:rsid w:val="00A96787"/>
    <w:rsid w:val="00AB6B4A"/>
    <w:rsid w:val="00AC4146"/>
    <w:rsid w:val="00AC74EE"/>
    <w:rsid w:val="00AD5A2E"/>
    <w:rsid w:val="00AD5E4C"/>
    <w:rsid w:val="00AE07A2"/>
    <w:rsid w:val="00AE458E"/>
    <w:rsid w:val="00AF0AC8"/>
    <w:rsid w:val="00B00728"/>
    <w:rsid w:val="00B0398B"/>
    <w:rsid w:val="00B12359"/>
    <w:rsid w:val="00B16FA4"/>
    <w:rsid w:val="00B20A03"/>
    <w:rsid w:val="00B2643E"/>
    <w:rsid w:val="00B27B3A"/>
    <w:rsid w:val="00B32854"/>
    <w:rsid w:val="00B42F59"/>
    <w:rsid w:val="00B51A19"/>
    <w:rsid w:val="00B51BD2"/>
    <w:rsid w:val="00B53A82"/>
    <w:rsid w:val="00B54B1B"/>
    <w:rsid w:val="00B60E5A"/>
    <w:rsid w:val="00B6251F"/>
    <w:rsid w:val="00B652AD"/>
    <w:rsid w:val="00B74A15"/>
    <w:rsid w:val="00B76C8F"/>
    <w:rsid w:val="00B7717B"/>
    <w:rsid w:val="00B872FC"/>
    <w:rsid w:val="00BB221C"/>
    <w:rsid w:val="00BB46BD"/>
    <w:rsid w:val="00BE6D38"/>
    <w:rsid w:val="00BE7C0C"/>
    <w:rsid w:val="00C06935"/>
    <w:rsid w:val="00C1146E"/>
    <w:rsid w:val="00C37581"/>
    <w:rsid w:val="00C4300D"/>
    <w:rsid w:val="00C56B61"/>
    <w:rsid w:val="00C57C02"/>
    <w:rsid w:val="00C60196"/>
    <w:rsid w:val="00C6614A"/>
    <w:rsid w:val="00C70F60"/>
    <w:rsid w:val="00C73874"/>
    <w:rsid w:val="00C874EC"/>
    <w:rsid w:val="00C90EE5"/>
    <w:rsid w:val="00C95BFB"/>
    <w:rsid w:val="00C95C6B"/>
    <w:rsid w:val="00CA3662"/>
    <w:rsid w:val="00CA6AAD"/>
    <w:rsid w:val="00CA7D30"/>
    <w:rsid w:val="00CC163F"/>
    <w:rsid w:val="00CD08AF"/>
    <w:rsid w:val="00CF2346"/>
    <w:rsid w:val="00CF5F4C"/>
    <w:rsid w:val="00D03C01"/>
    <w:rsid w:val="00D1348D"/>
    <w:rsid w:val="00D14C64"/>
    <w:rsid w:val="00D211E9"/>
    <w:rsid w:val="00D2353C"/>
    <w:rsid w:val="00D25F06"/>
    <w:rsid w:val="00D265B3"/>
    <w:rsid w:val="00D30A08"/>
    <w:rsid w:val="00D33D15"/>
    <w:rsid w:val="00D35CE8"/>
    <w:rsid w:val="00D378ED"/>
    <w:rsid w:val="00D464AC"/>
    <w:rsid w:val="00D56C88"/>
    <w:rsid w:val="00D64DAA"/>
    <w:rsid w:val="00D767BA"/>
    <w:rsid w:val="00D901F2"/>
    <w:rsid w:val="00D91986"/>
    <w:rsid w:val="00D92244"/>
    <w:rsid w:val="00D92758"/>
    <w:rsid w:val="00D95364"/>
    <w:rsid w:val="00D96A3C"/>
    <w:rsid w:val="00DA0D35"/>
    <w:rsid w:val="00DA2A76"/>
    <w:rsid w:val="00DB4510"/>
    <w:rsid w:val="00DC2146"/>
    <w:rsid w:val="00DC33D3"/>
    <w:rsid w:val="00E67686"/>
    <w:rsid w:val="00E75230"/>
    <w:rsid w:val="00E812D1"/>
    <w:rsid w:val="00E84A1F"/>
    <w:rsid w:val="00E85CDB"/>
    <w:rsid w:val="00EA49F2"/>
    <w:rsid w:val="00EA5E1D"/>
    <w:rsid w:val="00EB3041"/>
    <w:rsid w:val="00EB400B"/>
    <w:rsid w:val="00ED2D6B"/>
    <w:rsid w:val="00EE1B2F"/>
    <w:rsid w:val="00EE559C"/>
    <w:rsid w:val="00EF21C1"/>
    <w:rsid w:val="00EF27FE"/>
    <w:rsid w:val="00F06826"/>
    <w:rsid w:val="00F308B7"/>
    <w:rsid w:val="00F374D9"/>
    <w:rsid w:val="00F41659"/>
    <w:rsid w:val="00F436CD"/>
    <w:rsid w:val="00F60A49"/>
    <w:rsid w:val="00F63074"/>
    <w:rsid w:val="00F7718E"/>
    <w:rsid w:val="00F85B55"/>
    <w:rsid w:val="00F96187"/>
    <w:rsid w:val="00FB66FA"/>
    <w:rsid w:val="00FB74A2"/>
    <w:rsid w:val="00FC71AB"/>
    <w:rsid w:val="00FD335E"/>
    <w:rsid w:val="00FD7505"/>
    <w:rsid w:val="00FE19A0"/>
    <w:rsid w:val="00FE3DAD"/>
    <w:rsid w:val="00FE4074"/>
    <w:rsid w:val="00FE570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D6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2D6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2D6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D2D6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ED2D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D2D6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ED2D6B"/>
    <w:pPr>
      <w:spacing w:after="0" w:line="240" w:lineRule="auto"/>
    </w:pPr>
    <w:rPr>
      <w:rFonts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6B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D2D6B"/>
    <w:rPr>
      <w:vertAlign w:val="superscript"/>
    </w:rPr>
  </w:style>
  <w:style w:type="paragraph" w:customStyle="1" w:styleId="Default">
    <w:name w:val="Default"/>
    <w:rsid w:val="00ED2D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D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738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387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738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874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F53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53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530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53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5307"/>
    <w:rPr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16D15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444E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6836F3"/>
    <w:pPr>
      <w:spacing w:after="100"/>
    </w:pPr>
  </w:style>
  <w:style w:type="character" w:customStyle="1" w:styleId="linkneltesto">
    <w:name w:val="link_nel_testo"/>
    <w:basedOn w:val="Carpredefinitoparagrafo"/>
    <w:rsid w:val="004D5444"/>
    <w:rPr>
      <w:i/>
      <w:iCs/>
    </w:rPr>
  </w:style>
  <w:style w:type="paragraph" w:customStyle="1" w:styleId="provvr0">
    <w:name w:val="provv_r0"/>
    <w:basedOn w:val="Normale"/>
    <w:rsid w:val="007F19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857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ield-content">
    <w:name w:val="field-content"/>
    <w:basedOn w:val="Carpredefinitoparagrafo"/>
    <w:rsid w:val="00C6614A"/>
  </w:style>
  <w:style w:type="character" w:styleId="Enfasigrassetto">
    <w:name w:val="Strong"/>
    <w:basedOn w:val="Carpredefinitoparagrafo"/>
    <w:uiPriority w:val="22"/>
    <w:qFormat/>
    <w:rsid w:val="00D9275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5173"/>
    <w:rPr>
      <w:color w:val="800080" w:themeColor="followedHyperlink"/>
      <w:u w:val="single"/>
    </w:rPr>
  </w:style>
  <w:style w:type="paragraph" w:customStyle="1" w:styleId="dj-para-r2">
    <w:name w:val="dj-para-r2"/>
    <w:basedOn w:val="Normale"/>
    <w:rsid w:val="009418C0"/>
    <w:pPr>
      <w:spacing w:after="150" w:line="240" w:lineRule="atLeast"/>
      <w:ind w:left="30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j-para-r3">
    <w:name w:val="dj-para-r3"/>
    <w:basedOn w:val="Normale"/>
    <w:rsid w:val="009418C0"/>
    <w:pPr>
      <w:spacing w:after="150" w:line="240" w:lineRule="auto"/>
      <w:ind w:left="6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0E1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2D6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2D6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2D6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D2D6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ED2D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D2D6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ED2D6B"/>
    <w:pPr>
      <w:spacing w:after="0" w:line="240" w:lineRule="auto"/>
    </w:pPr>
    <w:rPr>
      <w:rFonts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6B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D2D6B"/>
    <w:rPr>
      <w:vertAlign w:val="superscript"/>
    </w:rPr>
  </w:style>
  <w:style w:type="paragraph" w:customStyle="1" w:styleId="Default">
    <w:name w:val="Default"/>
    <w:rsid w:val="00ED2D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D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738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387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738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874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F53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53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530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53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5307"/>
    <w:rPr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16D15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444E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6836F3"/>
    <w:pPr>
      <w:spacing w:after="100"/>
    </w:pPr>
  </w:style>
  <w:style w:type="character" w:customStyle="1" w:styleId="linkneltesto">
    <w:name w:val="link_nel_testo"/>
    <w:basedOn w:val="Carpredefinitoparagrafo"/>
    <w:rsid w:val="004D5444"/>
    <w:rPr>
      <w:i/>
      <w:iCs/>
    </w:rPr>
  </w:style>
  <w:style w:type="paragraph" w:customStyle="1" w:styleId="provvr0">
    <w:name w:val="provv_r0"/>
    <w:basedOn w:val="Normale"/>
    <w:rsid w:val="007F19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857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ield-content">
    <w:name w:val="field-content"/>
    <w:basedOn w:val="Carpredefinitoparagrafo"/>
    <w:rsid w:val="00C6614A"/>
  </w:style>
  <w:style w:type="character" w:styleId="Enfasigrassetto">
    <w:name w:val="Strong"/>
    <w:basedOn w:val="Carpredefinitoparagrafo"/>
    <w:uiPriority w:val="22"/>
    <w:qFormat/>
    <w:rsid w:val="00D9275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5173"/>
    <w:rPr>
      <w:color w:val="800080" w:themeColor="followedHyperlink"/>
      <w:u w:val="single"/>
    </w:rPr>
  </w:style>
  <w:style w:type="paragraph" w:customStyle="1" w:styleId="dj-para-r2">
    <w:name w:val="dj-para-r2"/>
    <w:basedOn w:val="Normale"/>
    <w:rsid w:val="009418C0"/>
    <w:pPr>
      <w:spacing w:after="150" w:line="240" w:lineRule="atLeast"/>
      <w:ind w:left="30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j-para-r3">
    <w:name w:val="dj-para-r3"/>
    <w:basedOn w:val="Normale"/>
    <w:rsid w:val="009418C0"/>
    <w:pPr>
      <w:spacing w:after="150" w:line="240" w:lineRule="auto"/>
      <w:ind w:left="6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0E1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68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1097">
                              <w:marLeft w:val="-315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5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9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4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1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d01.leggiditalia.it/cgi-bin/FulShow?TIPO=5&amp;NOTXT=1&amp;KEY=01LX0000167288ART5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nticorruzione.it/portal/public/classic/MenuServizio/FAQ/Trasparenz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nticorruzione.it/portal/public/classic/AttivitaAutorita/AttiDellAutorita/_Atto?ca=66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nticorruzione.it/portal/rest/jcr/repository/collaboration/Digital%20Assets/anacdocs/Attivita/Atti/Delibere/2018/PNA_2018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9B051-9520-4FBC-9F50-477F7BC2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b.neri</dc:creator>
  <cp:lastModifiedBy>i.russo</cp:lastModifiedBy>
  <cp:revision>2</cp:revision>
  <cp:lastPrinted>2013-07-05T07:43:00Z</cp:lastPrinted>
  <dcterms:created xsi:type="dcterms:W3CDTF">2021-05-12T09:09:00Z</dcterms:created>
  <dcterms:modified xsi:type="dcterms:W3CDTF">2021-05-12T09:09:00Z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